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bookmarkStart w:id="0" w:name="OLE_LINK4"/>
      <w:bookmarkStart w:id="1" w:name="OLE_LINK3"/>
    </w:p>
    <w:p/>
    <w:p/>
    <w:p/>
    <w:p/>
    <w:p/>
    <w:p>
      <w:pPr>
        <w:widowControl/>
        <w:autoSpaceDE w:val="0"/>
        <w:autoSpaceDN w:val="0"/>
        <w:spacing w:line="312" w:lineRule="auto"/>
        <w:jc w:val="center"/>
        <w:outlineLvl w:val="0"/>
        <w:rPr>
          <w:rFonts w:eastAsia="仿宋"/>
          <w:b/>
          <w:bCs/>
          <w:color w:val="000000"/>
          <w:kern w:val="0"/>
          <w:sz w:val="44"/>
          <w:szCs w:val="44"/>
        </w:rPr>
      </w:pPr>
      <w:bookmarkStart w:id="2" w:name="_Toc4956"/>
      <w:r>
        <w:rPr>
          <w:rFonts w:ascii="仿宋" w:hAnsi="仿宋" w:eastAsia="仿宋"/>
          <w:b/>
          <w:bCs/>
          <w:color w:val="000000"/>
          <w:kern w:val="0"/>
          <w:sz w:val="44"/>
          <w:szCs w:val="44"/>
        </w:rPr>
        <w:t>《</w:t>
      </w:r>
      <w:r>
        <w:rPr>
          <w:rFonts w:hint="eastAsia" w:ascii="仿宋" w:hAnsi="仿宋" w:eastAsia="仿宋"/>
          <w:b/>
          <w:bCs/>
          <w:color w:val="000000"/>
          <w:kern w:val="0"/>
          <w:sz w:val="44"/>
          <w:szCs w:val="44"/>
        </w:rPr>
        <w:t>节水型企业 毛纺织行业</w:t>
      </w:r>
      <w:r>
        <w:rPr>
          <w:rFonts w:ascii="仿宋" w:hAnsi="仿宋" w:eastAsia="仿宋"/>
          <w:b/>
          <w:bCs/>
          <w:color w:val="000000"/>
          <w:kern w:val="0"/>
          <w:sz w:val="44"/>
          <w:szCs w:val="44"/>
        </w:rPr>
        <w:t>》</w:t>
      </w:r>
      <w:r>
        <w:rPr>
          <w:rFonts w:hint="eastAsia" w:ascii="仿宋" w:hAnsi="仿宋" w:eastAsia="仿宋"/>
          <w:b/>
          <w:bCs/>
          <w:color w:val="000000"/>
          <w:kern w:val="0"/>
          <w:sz w:val="44"/>
          <w:szCs w:val="44"/>
        </w:rPr>
        <w:t>行业标准</w:t>
      </w:r>
      <w:bookmarkEnd w:id="2"/>
    </w:p>
    <w:p>
      <w:pPr>
        <w:widowControl/>
        <w:autoSpaceDE w:val="0"/>
        <w:autoSpaceDN w:val="0"/>
        <w:spacing w:line="312" w:lineRule="auto"/>
        <w:jc w:val="center"/>
        <w:rPr>
          <w:rFonts w:eastAsia="仿宋"/>
          <w:b/>
          <w:bCs/>
          <w:color w:val="000000"/>
          <w:kern w:val="0"/>
          <w:sz w:val="44"/>
          <w:szCs w:val="44"/>
        </w:rPr>
      </w:pPr>
      <w:r>
        <w:rPr>
          <w:rFonts w:ascii="仿宋" w:hAnsi="仿宋" w:eastAsia="仿宋"/>
          <w:b/>
          <w:bCs/>
          <w:color w:val="000000"/>
          <w:kern w:val="0"/>
          <w:sz w:val="44"/>
          <w:szCs w:val="44"/>
        </w:rPr>
        <w:t>编制说明</w:t>
      </w:r>
    </w:p>
    <w:p>
      <w:pPr>
        <w:widowControl/>
        <w:jc w:val="center"/>
        <w:outlineLvl w:val="0"/>
        <w:rPr>
          <w:rFonts w:eastAsia="仿宋"/>
          <w:b/>
          <w:color w:val="000000"/>
          <w:kern w:val="0"/>
          <w:sz w:val="28"/>
          <w:szCs w:val="28"/>
        </w:rPr>
      </w:pPr>
      <w:bookmarkStart w:id="3" w:name="_Toc18086"/>
      <w:r>
        <w:rPr>
          <w:rFonts w:ascii="仿宋" w:hAnsi="仿宋" w:eastAsia="仿宋"/>
          <w:b/>
          <w:color w:val="000000"/>
          <w:kern w:val="0"/>
          <w:sz w:val="28"/>
          <w:szCs w:val="28"/>
        </w:rPr>
        <w:t>（征求意见稿）</w:t>
      </w:r>
      <w:bookmarkEnd w:id="3"/>
    </w:p>
    <w:p>
      <w:pPr>
        <w:pStyle w:val="4"/>
        <w:spacing w:before="240" w:after="240"/>
        <w:ind w:firstLine="480"/>
        <w:rPr>
          <w:rFonts w:ascii="Times" w:hAnsi="Times"/>
        </w:rPr>
      </w:pPr>
      <w:r>
        <w:rPr>
          <w:rFonts w:ascii="Times" w:hAnsi="Times"/>
        </w:rPr>
        <w:t xml:space="preserve"> </w:t>
      </w:r>
    </w:p>
    <w:p>
      <w:pPr>
        <w:pStyle w:val="4"/>
        <w:spacing w:before="240" w:after="240"/>
        <w:ind w:firstLine="480"/>
        <w:rPr>
          <w:rFonts w:ascii="Times" w:hAnsi="Times"/>
        </w:rPr>
      </w:pPr>
      <w:r>
        <w:rPr>
          <w:rFonts w:ascii="Times" w:hAnsi="Times"/>
        </w:rPr>
        <w:t xml:space="preserve"> </w:t>
      </w:r>
    </w:p>
    <w:p>
      <w:pPr>
        <w:pStyle w:val="4"/>
        <w:spacing w:before="240" w:after="240"/>
        <w:ind w:firstLine="480"/>
        <w:rPr>
          <w:rFonts w:ascii="Times" w:hAnsi="Times"/>
        </w:rPr>
      </w:pPr>
      <w:r>
        <w:rPr>
          <w:rFonts w:ascii="Times" w:hAnsi="Times"/>
        </w:rPr>
        <w:t xml:space="preserve"> </w:t>
      </w:r>
    </w:p>
    <w:p>
      <w:pPr>
        <w:pStyle w:val="4"/>
        <w:spacing w:before="240" w:after="240"/>
        <w:ind w:firstLine="480"/>
        <w:rPr>
          <w:rFonts w:ascii="Times" w:hAnsi="Times"/>
        </w:rPr>
      </w:pPr>
      <w:r>
        <w:rPr>
          <w:rFonts w:ascii="Times" w:hAnsi="Times"/>
        </w:rPr>
        <w:t xml:space="preserve"> </w:t>
      </w:r>
    </w:p>
    <w:p>
      <w:pPr>
        <w:jc w:val="center"/>
        <w:rPr>
          <w:rFonts w:ascii="Times" w:hAnsi="Times" w:eastAsia="黑体"/>
          <w:sz w:val="30"/>
          <w:szCs w:val="30"/>
        </w:rPr>
      </w:pPr>
      <w:r>
        <w:rPr>
          <w:rFonts w:ascii="Times" w:hAnsi="Times" w:eastAsia="黑体"/>
          <w:sz w:val="30"/>
          <w:szCs w:val="30"/>
        </w:rPr>
        <w:t xml:space="preserve"> </w:t>
      </w:r>
    </w:p>
    <w:p>
      <w:pPr>
        <w:jc w:val="center"/>
        <w:rPr>
          <w:rFonts w:ascii="Times" w:hAnsi="Times" w:eastAsia="黑体"/>
          <w:sz w:val="30"/>
          <w:szCs w:val="30"/>
        </w:rPr>
      </w:pPr>
      <w:r>
        <w:rPr>
          <w:rFonts w:ascii="Times" w:hAnsi="Times" w:eastAsia="黑体"/>
          <w:sz w:val="30"/>
          <w:szCs w:val="30"/>
        </w:rPr>
        <w:t xml:space="preserve"> </w:t>
      </w:r>
    </w:p>
    <w:p>
      <w:pPr>
        <w:jc w:val="center"/>
        <w:rPr>
          <w:rFonts w:ascii="Times" w:hAnsi="Times" w:eastAsia="黑体"/>
          <w:sz w:val="30"/>
          <w:szCs w:val="30"/>
        </w:rPr>
      </w:pPr>
      <w:r>
        <w:rPr>
          <w:rFonts w:ascii="Times" w:hAnsi="Times" w:eastAsia="黑体"/>
          <w:sz w:val="30"/>
          <w:szCs w:val="30"/>
        </w:rPr>
        <w:t xml:space="preserve"> </w:t>
      </w:r>
    </w:p>
    <w:p>
      <w:pPr>
        <w:jc w:val="center"/>
        <w:rPr>
          <w:rFonts w:ascii="Times" w:hAnsi="Times" w:eastAsia="黑体"/>
          <w:sz w:val="30"/>
          <w:szCs w:val="30"/>
        </w:rPr>
      </w:pPr>
      <w:r>
        <w:rPr>
          <w:rFonts w:ascii="Times" w:hAnsi="Times" w:eastAsia="黑体"/>
          <w:sz w:val="30"/>
          <w:szCs w:val="30"/>
        </w:rPr>
        <w:t xml:space="preserve"> </w:t>
      </w:r>
    </w:p>
    <w:p>
      <w:pPr>
        <w:jc w:val="center"/>
        <w:rPr>
          <w:rFonts w:ascii="Times" w:hAnsi="Times" w:eastAsia="黑体"/>
          <w:sz w:val="30"/>
          <w:szCs w:val="30"/>
        </w:rPr>
      </w:pPr>
      <w:r>
        <w:rPr>
          <w:rFonts w:ascii="Times" w:hAnsi="Times" w:eastAsia="黑体"/>
          <w:sz w:val="30"/>
          <w:szCs w:val="30"/>
        </w:rPr>
        <w:t xml:space="preserve"> </w:t>
      </w:r>
    </w:p>
    <w:p>
      <w:pPr>
        <w:jc w:val="center"/>
        <w:rPr>
          <w:rFonts w:ascii="Times" w:hAnsi="Times" w:eastAsia="黑体"/>
          <w:sz w:val="30"/>
          <w:szCs w:val="30"/>
        </w:rPr>
      </w:pPr>
      <w:r>
        <w:rPr>
          <w:rFonts w:ascii="Times" w:hAnsi="Times" w:eastAsia="黑体"/>
          <w:sz w:val="30"/>
          <w:szCs w:val="30"/>
        </w:rPr>
        <w:t xml:space="preserve"> </w:t>
      </w:r>
    </w:p>
    <w:p>
      <w:pPr>
        <w:widowControl/>
        <w:jc w:val="center"/>
        <w:rPr>
          <w:rFonts w:eastAsia="仿宋"/>
          <w:kern w:val="0"/>
          <w:sz w:val="28"/>
          <w:szCs w:val="28"/>
        </w:rPr>
      </w:pPr>
      <w:r>
        <w:rPr>
          <w:rFonts w:ascii="仿宋" w:hAnsi="仿宋" w:eastAsia="仿宋"/>
          <w:kern w:val="0"/>
          <w:sz w:val="28"/>
          <w:szCs w:val="28"/>
        </w:rPr>
        <w:t>《</w:t>
      </w:r>
      <w:r>
        <w:rPr>
          <w:rFonts w:hint="eastAsia" w:ascii="仿宋" w:hAnsi="仿宋" w:eastAsia="仿宋"/>
          <w:kern w:val="0"/>
          <w:sz w:val="28"/>
          <w:szCs w:val="28"/>
        </w:rPr>
        <w:t>节水型企业 毛纺织行业</w:t>
      </w:r>
      <w:r>
        <w:rPr>
          <w:rFonts w:ascii="仿宋" w:hAnsi="仿宋" w:eastAsia="仿宋"/>
          <w:kern w:val="0"/>
          <w:sz w:val="28"/>
          <w:szCs w:val="28"/>
        </w:rPr>
        <w:t>》编制组</w:t>
      </w:r>
    </w:p>
    <w:p>
      <w:pPr>
        <w:widowControl/>
        <w:jc w:val="center"/>
        <w:rPr>
          <w:rFonts w:eastAsia="仿宋"/>
          <w:kern w:val="0"/>
          <w:sz w:val="28"/>
          <w:szCs w:val="28"/>
        </w:rPr>
        <w:sectPr>
          <w:pgSz w:w="12240" w:h="15840"/>
          <w:pgMar w:top="1440" w:right="1800" w:bottom="1440" w:left="1800" w:header="720" w:footer="720" w:gutter="0"/>
          <w:cols w:space="720" w:num="1"/>
        </w:sectPr>
      </w:pPr>
      <w:r>
        <w:rPr>
          <w:rFonts w:eastAsia="仿宋"/>
          <w:kern w:val="0"/>
          <w:sz w:val="28"/>
          <w:szCs w:val="28"/>
        </w:rPr>
        <w:t>2023</w:t>
      </w:r>
      <w:r>
        <w:rPr>
          <w:rFonts w:ascii="仿宋" w:hAnsi="仿宋" w:eastAsia="仿宋"/>
          <w:kern w:val="0"/>
          <w:sz w:val="28"/>
          <w:szCs w:val="28"/>
        </w:rPr>
        <w:t>年</w:t>
      </w:r>
      <w:r>
        <w:rPr>
          <w:rFonts w:hint="eastAsia" w:eastAsia="仿宋"/>
          <w:kern w:val="0"/>
          <w:sz w:val="28"/>
          <w:szCs w:val="28"/>
        </w:rPr>
        <w:t>9</w:t>
      </w:r>
      <w:r>
        <w:rPr>
          <w:rFonts w:ascii="仿宋" w:hAnsi="仿宋" w:eastAsia="仿宋"/>
          <w:kern w:val="0"/>
          <w:sz w:val="28"/>
          <w:szCs w:val="28"/>
        </w:rPr>
        <w:t>月</w:t>
      </w:r>
    </w:p>
    <w:bookmarkEnd w:id="0"/>
    <w:bookmarkEnd w:id="1"/>
    <w:p>
      <w:pPr>
        <w:pStyle w:val="38"/>
        <w:spacing w:line="420" w:lineRule="atLeast"/>
        <w:ind w:firstLine="0" w:firstLineChars="0"/>
        <w:jc w:val="center"/>
        <w:rPr>
          <w:rFonts w:hint="eastAsia"/>
          <w:sz w:val="44"/>
          <w:lang w:val="en-US" w:eastAsia="zh-CN"/>
        </w:rPr>
      </w:pPr>
      <w:bookmarkStart w:id="4" w:name="_Toc310354274"/>
      <w:bookmarkStart w:id="5" w:name="_Toc309893690"/>
      <w:bookmarkStart w:id="6" w:name="_Toc370979860"/>
      <w:r>
        <w:rPr>
          <w:rFonts w:hint="eastAsia"/>
          <w:sz w:val="44"/>
          <w:lang w:val="en-US" w:eastAsia="zh-CN"/>
        </w:rPr>
        <w:t>目录</w:t>
      </w:r>
    </w:p>
    <w:sdt>
      <w:sdtPr>
        <w:rPr>
          <w:rFonts w:ascii="宋体" w:hAnsi="宋体" w:eastAsia="宋体" w:cs="Times New Roman"/>
          <w:kern w:val="2"/>
          <w:sz w:val="21"/>
          <w:szCs w:val="24"/>
          <w:lang w:val="en-US" w:eastAsia="zh-CN" w:bidi="ar-SA"/>
        </w:rPr>
        <w:id w:val="147463714"/>
        <w15:color w:val="DBDBDB"/>
        <w:docPartObj>
          <w:docPartGallery w:val="Table of Contents"/>
          <w:docPartUnique/>
        </w:docPartObj>
      </w:sdtPr>
      <w:sdtEndPr>
        <w:rPr>
          <w:rFonts w:hint="eastAsia" w:ascii="宋体" w:hAnsi="宋体" w:eastAsia="宋体" w:cs="Times New Roman"/>
          <w:b/>
          <w:kern w:val="2"/>
          <w:sz w:val="21"/>
          <w:szCs w:val="22"/>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sz w:val="44"/>
              <w:lang w:val="en-US" w:eastAsia="zh-CN"/>
            </w:rPr>
            <w:fldChar w:fldCharType="begin"/>
          </w:r>
          <w:r>
            <w:rPr>
              <w:rFonts w:hint="eastAsia"/>
              <w:sz w:val="44"/>
              <w:lang w:val="en-US" w:eastAsia="zh-CN"/>
            </w:rPr>
            <w:instrText xml:space="preserve">TOC \o "1-2" \h \u </w:instrText>
          </w:r>
          <w:r>
            <w:rPr>
              <w:rFonts w:hint="eastAsia"/>
              <w:sz w:val="44"/>
              <w:lang w:val="en-US" w:eastAsia="zh-CN"/>
            </w:rPr>
            <w:fldChar w:fldCharType="separate"/>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_Toc10423 </w:instrText>
          </w:r>
          <w:r>
            <w:rPr>
              <w:rFonts w:hint="eastAsia"/>
              <w:b w:val="0"/>
              <w:bCs/>
              <w:lang w:val="en-US" w:eastAsia="zh-CN"/>
            </w:rPr>
            <w:fldChar w:fldCharType="separate"/>
          </w:r>
          <w:r>
            <w:rPr>
              <w:rFonts w:ascii="Times" w:hAnsi="Times"/>
              <w:b w:val="0"/>
              <w:bCs/>
              <w:szCs w:val="28"/>
            </w:rPr>
            <w:t>1</w:t>
          </w:r>
          <w:r>
            <w:rPr>
              <w:rFonts w:ascii="黑体" w:hAnsi="黑体"/>
              <w:b w:val="0"/>
              <w:bCs/>
              <w:szCs w:val="28"/>
            </w:rPr>
            <w:t>项目概况</w:t>
          </w:r>
          <w:r>
            <w:rPr>
              <w:b w:val="0"/>
              <w:bCs/>
            </w:rPr>
            <w:tab/>
          </w:r>
          <w:r>
            <w:rPr>
              <w:b w:val="0"/>
              <w:bCs/>
            </w:rPr>
            <w:fldChar w:fldCharType="begin"/>
          </w:r>
          <w:r>
            <w:rPr>
              <w:b w:val="0"/>
              <w:bCs/>
            </w:rPr>
            <w:instrText xml:space="preserve"> PAGEREF _Toc10423 \h </w:instrText>
          </w:r>
          <w:r>
            <w:rPr>
              <w:b w:val="0"/>
              <w:bCs/>
            </w:rPr>
            <w:fldChar w:fldCharType="separate"/>
          </w:r>
          <w:r>
            <w:rPr>
              <w:b w:val="0"/>
              <w:bCs/>
            </w:rPr>
            <w:t>2</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_Toc14763 </w:instrText>
          </w:r>
          <w:r>
            <w:rPr>
              <w:rFonts w:hint="eastAsia"/>
              <w:b w:val="0"/>
              <w:bCs/>
              <w:lang w:val="en-US" w:eastAsia="zh-CN"/>
            </w:rPr>
            <w:fldChar w:fldCharType="separate"/>
          </w:r>
          <w:r>
            <w:rPr>
              <w:rFonts w:ascii="Times" w:hAnsi="Times"/>
              <w:b w:val="0"/>
              <w:bCs/>
              <w:szCs w:val="24"/>
            </w:rPr>
            <w:t>1.1</w:t>
          </w:r>
          <w:r>
            <w:rPr>
              <w:rFonts w:ascii="黑体" w:hAnsi="黑体"/>
              <w:b w:val="0"/>
              <w:bCs/>
              <w:szCs w:val="24"/>
            </w:rPr>
            <w:t>任务来源</w:t>
          </w:r>
          <w:r>
            <w:rPr>
              <w:b w:val="0"/>
              <w:bCs/>
            </w:rPr>
            <w:tab/>
          </w:r>
          <w:r>
            <w:rPr>
              <w:b w:val="0"/>
              <w:bCs/>
            </w:rPr>
            <w:fldChar w:fldCharType="begin"/>
          </w:r>
          <w:r>
            <w:rPr>
              <w:b w:val="0"/>
              <w:bCs/>
            </w:rPr>
            <w:instrText xml:space="preserve"> PAGEREF _Toc14763 \h </w:instrText>
          </w:r>
          <w:r>
            <w:rPr>
              <w:b w:val="0"/>
              <w:bCs/>
            </w:rPr>
            <w:fldChar w:fldCharType="separate"/>
          </w:r>
          <w:r>
            <w:rPr>
              <w:b w:val="0"/>
              <w:bCs/>
            </w:rPr>
            <w:t>2</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_Toc8332 </w:instrText>
          </w:r>
          <w:r>
            <w:rPr>
              <w:rFonts w:hint="eastAsia"/>
              <w:b w:val="0"/>
              <w:bCs/>
              <w:lang w:val="en-US" w:eastAsia="zh-CN"/>
            </w:rPr>
            <w:fldChar w:fldCharType="separate"/>
          </w:r>
          <w:r>
            <w:rPr>
              <w:rFonts w:ascii="Times" w:hAnsi="Times"/>
              <w:b w:val="0"/>
              <w:bCs/>
              <w:szCs w:val="24"/>
            </w:rPr>
            <w:t>1.2目的意义</w:t>
          </w:r>
          <w:r>
            <w:rPr>
              <w:b w:val="0"/>
              <w:bCs/>
            </w:rPr>
            <w:tab/>
          </w:r>
          <w:r>
            <w:rPr>
              <w:b w:val="0"/>
              <w:bCs/>
            </w:rPr>
            <w:fldChar w:fldCharType="begin"/>
          </w:r>
          <w:r>
            <w:rPr>
              <w:b w:val="0"/>
              <w:bCs/>
            </w:rPr>
            <w:instrText xml:space="preserve"> PAGEREF _Toc8332 \h </w:instrText>
          </w:r>
          <w:r>
            <w:rPr>
              <w:b w:val="0"/>
              <w:bCs/>
            </w:rPr>
            <w:fldChar w:fldCharType="separate"/>
          </w:r>
          <w:r>
            <w:rPr>
              <w:b w:val="0"/>
              <w:bCs/>
            </w:rPr>
            <w:t>2</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_Toc8479 </w:instrText>
          </w:r>
          <w:r>
            <w:rPr>
              <w:rFonts w:hint="eastAsia"/>
              <w:b w:val="0"/>
              <w:bCs/>
              <w:lang w:val="en-US" w:eastAsia="zh-CN"/>
            </w:rPr>
            <w:fldChar w:fldCharType="separate"/>
          </w:r>
          <w:r>
            <w:rPr>
              <w:rFonts w:ascii="Times" w:hAnsi="Times"/>
              <w:b w:val="0"/>
              <w:bCs/>
              <w:szCs w:val="24"/>
            </w:rPr>
            <w:t>1.3主要起草单位</w:t>
          </w:r>
          <w:r>
            <w:rPr>
              <w:rFonts w:hint="eastAsia" w:ascii="Times" w:hAnsi="Times"/>
              <w:b w:val="0"/>
              <w:bCs/>
              <w:szCs w:val="24"/>
            </w:rPr>
            <w:t>及工作</w:t>
          </w:r>
          <w:r>
            <w:rPr>
              <w:b w:val="0"/>
              <w:bCs/>
            </w:rPr>
            <w:tab/>
          </w:r>
          <w:r>
            <w:rPr>
              <w:b w:val="0"/>
              <w:bCs/>
            </w:rPr>
            <w:fldChar w:fldCharType="begin"/>
          </w:r>
          <w:r>
            <w:rPr>
              <w:b w:val="0"/>
              <w:bCs/>
            </w:rPr>
            <w:instrText xml:space="preserve"> PAGEREF _Toc8479 \h </w:instrText>
          </w:r>
          <w:r>
            <w:rPr>
              <w:b w:val="0"/>
              <w:bCs/>
            </w:rPr>
            <w:fldChar w:fldCharType="separate"/>
          </w:r>
          <w:r>
            <w:rPr>
              <w:b w:val="0"/>
              <w:bCs/>
            </w:rPr>
            <w:t>3</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_Toc14451 </w:instrText>
          </w:r>
          <w:r>
            <w:rPr>
              <w:rFonts w:hint="eastAsia"/>
              <w:b w:val="0"/>
              <w:bCs/>
              <w:lang w:val="en-US" w:eastAsia="zh-CN"/>
            </w:rPr>
            <w:fldChar w:fldCharType="separate"/>
          </w:r>
          <w:r>
            <w:rPr>
              <w:rFonts w:ascii="Times" w:hAnsi="Times"/>
              <w:b w:val="0"/>
              <w:bCs/>
              <w:szCs w:val="24"/>
            </w:rPr>
            <w:t>1.4 编制过程</w:t>
          </w:r>
          <w:r>
            <w:rPr>
              <w:b w:val="0"/>
              <w:bCs/>
            </w:rPr>
            <w:tab/>
          </w:r>
          <w:r>
            <w:rPr>
              <w:b w:val="0"/>
              <w:bCs/>
            </w:rPr>
            <w:fldChar w:fldCharType="begin"/>
          </w:r>
          <w:r>
            <w:rPr>
              <w:b w:val="0"/>
              <w:bCs/>
            </w:rPr>
            <w:instrText xml:space="preserve"> PAGEREF _Toc14451 \h </w:instrText>
          </w:r>
          <w:r>
            <w:rPr>
              <w:b w:val="0"/>
              <w:bCs/>
            </w:rPr>
            <w:fldChar w:fldCharType="separate"/>
          </w:r>
          <w:r>
            <w:rPr>
              <w:b w:val="0"/>
              <w:bCs/>
            </w:rPr>
            <w:t>3</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_Toc15681 </w:instrText>
          </w:r>
          <w:r>
            <w:rPr>
              <w:rFonts w:hint="eastAsia"/>
              <w:b w:val="0"/>
              <w:bCs/>
              <w:lang w:val="en-US" w:eastAsia="zh-CN"/>
            </w:rPr>
            <w:fldChar w:fldCharType="separate"/>
          </w:r>
          <w:r>
            <w:rPr>
              <w:rFonts w:ascii="Times" w:hAnsi="Times" w:eastAsia="宋体" w:cs="Times New Roman"/>
              <w:b w:val="0"/>
              <w:bCs/>
              <w:szCs w:val="28"/>
            </w:rPr>
            <w:t>2.</w:t>
          </w:r>
          <w:r>
            <w:rPr>
              <w:rFonts w:hint="eastAsia" w:ascii="Times" w:hAnsi="Times" w:eastAsia="宋体" w:cs="Times New Roman"/>
              <w:b w:val="0"/>
              <w:bCs/>
              <w:szCs w:val="28"/>
            </w:rPr>
            <w:t>毛纺织行业</w:t>
          </w:r>
          <w:r>
            <w:rPr>
              <w:rFonts w:ascii="Times" w:hAnsi="Times" w:eastAsia="宋体" w:cs="Times New Roman"/>
              <w:b w:val="0"/>
              <w:bCs/>
              <w:szCs w:val="28"/>
            </w:rPr>
            <w:t>相关情况</w:t>
          </w:r>
          <w:r>
            <w:rPr>
              <w:b w:val="0"/>
              <w:bCs/>
            </w:rPr>
            <w:tab/>
          </w:r>
          <w:r>
            <w:rPr>
              <w:b w:val="0"/>
              <w:bCs/>
            </w:rPr>
            <w:fldChar w:fldCharType="begin"/>
          </w:r>
          <w:r>
            <w:rPr>
              <w:b w:val="0"/>
              <w:bCs/>
            </w:rPr>
            <w:instrText xml:space="preserve"> PAGEREF _Toc15681 \h </w:instrText>
          </w:r>
          <w:r>
            <w:rPr>
              <w:b w:val="0"/>
              <w:bCs/>
            </w:rPr>
            <w:fldChar w:fldCharType="separate"/>
          </w:r>
          <w:r>
            <w:rPr>
              <w:b w:val="0"/>
              <w:bCs/>
            </w:rPr>
            <w:t>5</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_Toc19624 </w:instrText>
          </w:r>
          <w:r>
            <w:rPr>
              <w:rFonts w:hint="eastAsia"/>
              <w:b w:val="0"/>
              <w:bCs/>
              <w:lang w:val="en-US" w:eastAsia="zh-CN"/>
            </w:rPr>
            <w:fldChar w:fldCharType="separate"/>
          </w:r>
          <w:r>
            <w:rPr>
              <w:rFonts w:hint="eastAsia" w:ascii="Times" w:hAnsi="Times" w:eastAsia="宋体" w:cs="Times New Roman"/>
              <w:b w:val="0"/>
              <w:bCs/>
              <w:szCs w:val="28"/>
            </w:rPr>
            <w:t>3编制原则和方法</w:t>
          </w:r>
          <w:r>
            <w:rPr>
              <w:b w:val="0"/>
              <w:bCs/>
            </w:rPr>
            <w:tab/>
          </w:r>
          <w:r>
            <w:rPr>
              <w:b w:val="0"/>
              <w:bCs/>
            </w:rPr>
            <w:fldChar w:fldCharType="begin"/>
          </w:r>
          <w:r>
            <w:rPr>
              <w:b w:val="0"/>
              <w:bCs/>
            </w:rPr>
            <w:instrText xml:space="preserve"> PAGEREF _Toc19624 \h </w:instrText>
          </w:r>
          <w:r>
            <w:rPr>
              <w:b w:val="0"/>
              <w:bCs/>
            </w:rPr>
            <w:fldChar w:fldCharType="separate"/>
          </w:r>
          <w:r>
            <w:rPr>
              <w:b w:val="0"/>
              <w:bCs/>
            </w:rPr>
            <w:t>6</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_Toc2669 </w:instrText>
          </w:r>
          <w:r>
            <w:rPr>
              <w:rFonts w:hint="eastAsia"/>
              <w:b w:val="0"/>
              <w:bCs/>
              <w:lang w:val="en-US" w:eastAsia="zh-CN"/>
            </w:rPr>
            <w:fldChar w:fldCharType="separate"/>
          </w:r>
          <w:r>
            <w:rPr>
              <w:b w:val="0"/>
              <w:bCs/>
              <w:szCs w:val="24"/>
            </w:rPr>
            <w:t>3.1编制原则</w:t>
          </w:r>
          <w:r>
            <w:rPr>
              <w:b w:val="0"/>
              <w:bCs/>
            </w:rPr>
            <w:tab/>
          </w:r>
          <w:r>
            <w:rPr>
              <w:b w:val="0"/>
              <w:bCs/>
            </w:rPr>
            <w:fldChar w:fldCharType="begin"/>
          </w:r>
          <w:r>
            <w:rPr>
              <w:b w:val="0"/>
              <w:bCs/>
            </w:rPr>
            <w:instrText xml:space="preserve"> PAGEREF _Toc2669 \h </w:instrText>
          </w:r>
          <w:r>
            <w:rPr>
              <w:b w:val="0"/>
              <w:bCs/>
            </w:rPr>
            <w:fldChar w:fldCharType="separate"/>
          </w:r>
          <w:r>
            <w:rPr>
              <w:b w:val="0"/>
              <w:bCs/>
            </w:rPr>
            <w:t>6</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_Toc31973 </w:instrText>
          </w:r>
          <w:r>
            <w:rPr>
              <w:rFonts w:hint="eastAsia"/>
              <w:b w:val="0"/>
              <w:bCs/>
              <w:lang w:val="en-US" w:eastAsia="zh-CN"/>
            </w:rPr>
            <w:fldChar w:fldCharType="separate"/>
          </w:r>
          <w:r>
            <w:rPr>
              <w:b w:val="0"/>
              <w:bCs/>
              <w:szCs w:val="24"/>
            </w:rPr>
            <w:t>3</w:t>
          </w:r>
          <w:r>
            <w:rPr>
              <w:rFonts w:hint="eastAsia"/>
              <w:b w:val="0"/>
              <w:bCs/>
              <w:szCs w:val="24"/>
            </w:rPr>
            <w:t>.2 编制方法</w:t>
          </w:r>
          <w:r>
            <w:rPr>
              <w:b w:val="0"/>
              <w:bCs/>
            </w:rPr>
            <w:tab/>
          </w:r>
          <w:r>
            <w:rPr>
              <w:b w:val="0"/>
              <w:bCs/>
            </w:rPr>
            <w:fldChar w:fldCharType="begin"/>
          </w:r>
          <w:r>
            <w:rPr>
              <w:b w:val="0"/>
              <w:bCs/>
            </w:rPr>
            <w:instrText xml:space="preserve"> PAGEREF _Toc31973 \h </w:instrText>
          </w:r>
          <w:r>
            <w:rPr>
              <w:b w:val="0"/>
              <w:bCs/>
            </w:rPr>
            <w:fldChar w:fldCharType="separate"/>
          </w:r>
          <w:r>
            <w:rPr>
              <w:b w:val="0"/>
              <w:bCs/>
            </w:rPr>
            <w:t>6</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_Toc4885 </w:instrText>
          </w:r>
          <w:r>
            <w:rPr>
              <w:rFonts w:hint="eastAsia"/>
              <w:b w:val="0"/>
              <w:bCs/>
              <w:lang w:val="en-US" w:eastAsia="zh-CN"/>
            </w:rPr>
            <w:fldChar w:fldCharType="separate"/>
          </w:r>
          <w:r>
            <w:rPr>
              <w:rFonts w:hint="eastAsia" w:ascii="Times" w:hAnsi="Times" w:eastAsia="宋体" w:cs="Times New Roman"/>
              <w:b w:val="0"/>
              <w:bCs/>
              <w:szCs w:val="28"/>
            </w:rPr>
            <w:t>4</w:t>
          </w:r>
          <w:r>
            <w:rPr>
              <w:rFonts w:ascii="Times" w:hAnsi="Times" w:eastAsia="宋体" w:cs="Times New Roman"/>
              <w:b w:val="0"/>
              <w:bCs/>
              <w:szCs w:val="28"/>
            </w:rPr>
            <w:t xml:space="preserve"> </w:t>
          </w:r>
          <w:r>
            <w:rPr>
              <w:rFonts w:hint="eastAsia" w:ascii="Times" w:hAnsi="Times" w:eastAsia="宋体" w:cs="Times New Roman"/>
              <w:b w:val="0"/>
              <w:bCs/>
              <w:szCs w:val="28"/>
            </w:rPr>
            <w:t>标准主要内容</w:t>
          </w:r>
          <w:r>
            <w:rPr>
              <w:b w:val="0"/>
              <w:bCs/>
            </w:rPr>
            <w:tab/>
          </w:r>
          <w:r>
            <w:rPr>
              <w:b w:val="0"/>
              <w:bCs/>
            </w:rPr>
            <w:fldChar w:fldCharType="begin"/>
          </w:r>
          <w:r>
            <w:rPr>
              <w:b w:val="0"/>
              <w:bCs/>
            </w:rPr>
            <w:instrText xml:space="preserve"> PAGEREF _Toc4885 \h </w:instrText>
          </w:r>
          <w:r>
            <w:rPr>
              <w:b w:val="0"/>
              <w:bCs/>
            </w:rPr>
            <w:fldChar w:fldCharType="separate"/>
          </w:r>
          <w:r>
            <w:rPr>
              <w:b w:val="0"/>
              <w:bCs/>
            </w:rPr>
            <w:t>7</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_Toc29929 </w:instrText>
          </w:r>
          <w:r>
            <w:rPr>
              <w:rFonts w:hint="eastAsia"/>
              <w:b w:val="0"/>
              <w:bCs/>
              <w:lang w:val="en-US" w:eastAsia="zh-CN"/>
            </w:rPr>
            <w:fldChar w:fldCharType="separate"/>
          </w:r>
          <w:r>
            <w:rPr>
              <w:b w:val="0"/>
              <w:bCs/>
              <w:szCs w:val="24"/>
            </w:rPr>
            <w:t>4.1</w:t>
          </w:r>
          <w:r>
            <w:rPr>
              <w:rFonts w:ascii="宋体" w:hAnsi="宋体"/>
              <w:b w:val="0"/>
              <w:bCs/>
              <w:szCs w:val="24"/>
            </w:rPr>
            <w:t>标准名称</w:t>
          </w:r>
          <w:r>
            <w:rPr>
              <w:b w:val="0"/>
              <w:bCs/>
            </w:rPr>
            <w:tab/>
          </w:r>
          <w:r>
            <w:rPr>
              <w:b w:val="0"/>
              <w:bCs/>
            </w:rPr>
            <w:fldChar w:fldCharType="begin"/>
          </w:r>
          <w:r>
            <w:rPr>
              <w:b w:val="0"/>
              <w:bCs/>
            </w:rPr>
            <w:instrText xml:space="preserve"> PAGEREF _Toc29929 \h </w:instrText>
          </w:r>
          <w:r>
            <w:rPr>
              <w:b w:val="0"/>
              <w:bCs/>
            </w:rPr>
            <w:fldChar w:fldCharType="separate"/>
          </w:r>
          <w:r>
            <w:rPr>
              <w:b w:val="0"/>
              <w:bCs/>
            </w:rPr>
            <w:t>7</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_Toc23218 </w:instrText>
          </w:r>
          <w:r>
            <w:rPr>
              <w:rFonts w:hint="eastAsia"/>
              <w:b w:val="0"/>
              <w:bCs/>
              <w:lang w:val="en-US" w:eastAsia="zh-CN"/>
            </w:rPr>
            <w:fldChar w:fldCharType="separate"/>
          </w:r>
          <w:r>
            <w:rPr>
              <w:b w:val="0"/>
              <w:bCs/>
              <w:szCs w:val="24"/>
            </w:rPr>
            <w:t>4.2</w:t>
          </w:r>
          <w:r>
            <w:rPr>
              <w:rFonts w:ascii="宋体" w:hAnsi="宋体"/>
              <w:b w:val="0"/>
              <w:bCs/>
              <w:szCs w:val="24"/>
            </w:rPr>
            <w:t>适用范围</w:t>
          </w:r>
          <w:r>
            <w:rPr>
              <w:b w:val="0"/>
              <w:bCs/>
            </w:rPr>
            <w:tab/>
          </w:r>
          <w:r>
            <w:rPr>
              <w:b w:val="0"/>
              <w:bCs/>
            </w:rPr>
            <w:fldChar w:fldCharType="begin"/>
          </w:r>
          <w:r>
            <w:rPr>
              <w:b w:val="0"/>
              <w:bCs/>
            </w:rPr>
            <w:instrText xml:space="preserve"> PAGEREF _Toc23218 \h </w:instrText>
          </w:r>
          <w:r>
            <w:rPr>
              <w:b w:val="0"/>
              <w:bCs/>
            </w:rPr>
            <w:fldChar w:fldCharType="separate"/>
          </w:r>
          <w:r>
            <w:rPr>
              <w:b w:val="0"/>
              <w:bCs/>
            </w:rPr>
            <w:t>7</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_Toc24118 </w:instrText>
          </w:r>
          <w:r>
            <w:rPr>
              <w:rFonts w:hint="eastAsia"/>
              <w:b w:val="0"/>
              <w:bCs/>
              <w:lang w:val="en-US" w:eastAsia="zh-CN"/>
            </w:rPr>
            <w:fldChar w:fldCharType="separate"/>
          </w:r>
          <w:r>
            <w:rPr>
              <w:rFonts w:hint="eastAsia"/>
              <w:b w:val="0"/>
              <w:bCs/>
              <w:szCs w:val="24"/>
            </w:rPr>
            <w:t>4</w:t>
          </w:r>
          <w:r>
            <w:rPr>
              <w:b w:val="0"/>
              <w:bCs/>
              <w:szCs w:val="24"/>
            </w:rPr>
            <w:t>.</w:t>
          </w:r>
          <w:r>
            <w:rPr>
              <w:rFonts w:hint="eastAsia"/>
              <w:b w:val="0"/>
              <w:bCs/>
              <w:szCs w:val="24"/>
            </w:rPr>
            <w:t>3</w:t>
          </w:r>
          <w:r>
            <w:rPr>
              <w:rFonts w:ascii="宋体" w:hAnsi="宋体"/>
              <w:b w:val="0"/>
              <w:bCs/>
              <w:szCs w:val="24"/>
            </w:rPr>
            <w:t>文本框架</w:t>
          </w:r>
          <w:r>
            <w:rPr>
              <w:b w:val="0"/>
              <w:bCs/>
            </w:rPr>
            <w:tab/>
          </w:r>
          <w:r>
            <w:rPr>
              <w:b w:val="0"/>
              <w:bCs/>
            </w:rPr>
            <w:fldChar w:fldCharType="begin"/>
          </w:r>
          <w:r>
            <w:rPr>
              <w:b w:val="0"/>
              <w:bCs/>
            </w:rPr>
            <w:instrText xml:space="preserve"> PAGEREF _Toc24118 \h </w:instrText>
          </w:r>
          <w:r>
            <w:rPr>
              <w:b w:val="0"/>
              <w:bCs/>
            </w:rPr>
            <w:fldChar w:fldCharType="separate"/>
          </w:r>
          <w:r>
            <w:rPr>
              <w:b w:val="0"/>
              <w:bCs/>
            </w:rPr>
            <w:t>7</w:t>
          </w:r>
          <w:r>
            <w:rPr>
              <w:b w:val="0"/>
              <w:bCs/>
            </w:rPr>
            <w:fldChar w:fldCharType="end"/>
          </w:r>
          <w:r>
            <w:rPr>
              <w:rFonts w:hint="eastAsia"/>
              <w:b w:val="0"/>
              <w:bCs/>
              <w:lang w:val="en-US" w:eastAsia="zh-CN"/>
            </w:rPr>
            <w:fldChar w:fldCharType="end"/>
          </w:r>
        </w:p>
        <w:p>
          <w:pPr>
            <w:pStyle w:val="77"/>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_Toc28928 </w:instrText>
          </w:r>
          <w:r>
            <w:rPr>
              <w:rFonts w:hint="eastAsia"/>
              <w:b w:val="0"/>
              <w:bCs/>
              <w:lang w:val="en-US" w:eastAsia="zh-CN"/>
            </w:rPr>
            <w:fldChar w:fldCharType="separate"/>
          </w:r>
          <w:r>
            <w:rPr>
              <w:rFonts w:hint="eastAsia"/>
              <w:b w:val="0"/>
              <w:bCs/>
              <w:szCs w:val="24"/>
            </w:rPr>
            <w:t>4</w:t>
          </w:r>
          <w:r>
            <w:rPr>
              <w:b w:val="0"/>
              <w:bCs/>
              <w:szCs w:val="24"/>
            </w:rPr>
            <w:t>.4 评价指标的确定及制定依据</w:t>
          </w:r>
          <w:r>
            <w:rPr>
              <w:b w:val="0"/>
              <w:bCs/>
            </w:rPr>
            <w:tab/>
          </w:r>
          <w:r>
            <w:rPr>
              <w:b w:val="0"/>
              <w:bCs/>
            </w:rPr>
            <w:fldChar w:fldCharType="begin"/>
          </w:r>
          <w:r>
            <w:rPr>
              <w:b w:val="0"/>
              <w:bCs/>
            </w:rPr>
            <w:instrText xml:space="preserve"> PAGEREF _Toc28928 \h </w:instrText>
          </w:r>
          <w:r>
            <w:rPr>
              <w:b w:val="0"/>
              <w:bCs/>
            </w:rPr>
            <w:fldChar w:fldCharType="separate"/>
          </w:r>
          <w:r>
            <w:rPr>
              <w:b w:val="0"/>
              <w:bCs/>
            </w:rPr>
            <w:t>7</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_Toc18360 </w:instrText>
          </w:r>
          <w:r>
            <w:rPr>
              <w:rFonts w:hint="eastAsia"/>
              <w:b w:val="0"/>
              <w:bCs/>
              <w:lang w:val="en-US" w:eastAsia="zh-CN"/>
            </w:rPr>
            <w:fldChar w:fldCharType="separate"/>
          </w:r>
          <w:r>
            <w:rPr>
              <w:rFonts w:hint="eastAsia" w:ascii="Times" w:hAnsi="Times" w:eastAsia="宋体" w:cs="Times New Roman"/>
              <w:b w:val="0"/>
              <w:bCs/>
              <w:szCs w:val="28"/>
            </w:rPr>
            <w:t>5 与国际、国外同类标准水平的对比情况</w:t>
          </w:r>
          <w:r>
            <w:rPr>
              <w:b w:val="0"/>
              <w:bCs/>
            </w:rPr>
            <w:tab/>
          </w:r>
          <w:r>
            <w:rPr>
              <w:b w:val="0"/>
              <w:bCs/>
            </w:rPr>
            <w:fldChar w:fldCharType="begin"/>
          </w:r>
          <w:r>
            <w:rPr>
              <w:b w:val="0"/>
              <w:bCs/>
            </w:rPr>
            <w:instrText xml:space="preserve"> PAGEREF _Toc18360 \h </w:instrText>
          </w:r>
          <w:r>
            <w:rPr>
              <w:b w:val="0"/>
              <w:bCs/>
            </w:rPr>
            <w:fldChar w:fldCharType="separate"/>
          </w:r>
          <w:r>
            <w:rPr>
              <w:b w:val="0"/>
              <w:bCs/>
            </w:rPr>
            <w:t>20</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_Toc25590 </w:instrText>
          </w:r>
          <w:r>
            <w:rPr>
              <w:rFonts w:hint="eastAsia"/>
              <w:b w:val="0"/>
              <w:bCs/>
              <w:lang w:val="en-US" w:eastAsia="zh-CN"/>
            </w:rPr>
            <w:fldChar w:fldCharType="separate"/>
          </w:r>
          <w:r>
            <w:rPr>
              <w:rFonts w:hint="eastAsia" w:ascii="Times" w:hAnsi="Times" w:eastAsia="宋体" w:cs="Times New Roman"/>
              <w:b w:val="0"/>
              <w:bCs/>
              <w:szCs w:val="28"/>
            </w:rPr>
            <w:t>6 与现行法律、法规和强制性国家标准的关系</w:t>
          </w:r>
          <w:r>
            <w:rPr>
              <w:b w:val="0"/>
              <w:bCs/>
            </w:rPr>
            <w:tab/>
          </w:r>
          <w:r>
            <w:rPr>
              <w:b w:val="0"/>
              <w:bCs/>
            </w:rPr>
            <w:fldChar w:fldCharType="begin"/>
          </w:r>
          <w:r>
            <w:rPr>
              <w:b w:val="0"/>
              <w:bCs/>
            </w:rPr>
            <w:instrText xml:space="preserve"> PAGEREF _Toc25590 \h </w:instrText>
          </w:r>
          <w:r>
            <w:rPr>
              <w:b w:val="0"/>
              <w:bCs/>
            </w:rPr>
            <w:fldChar w:fldCharType="separate"/>
          </w:r>
          <w:r>
            <w:rPr>
              <w:b w:val="0"/>
              <w:bCs/>
            </w:rPr>
            <w:t>20</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_Toc26061 </w:instrText>
          </w:r>
          <w:r>
            <w:rPr>
              <w:rFonts w:hint="eastAsia"/>
              <w:b w:val="0"/>
              <w:bCs/>
              <w:lang w:val="en-US" w:eastAsia="zh-CN"/>
            </w:rPr>
            <w:fldChar w:fldCharType="separate"/>
          </w:r>
          <w:r>
            <w:rPr>
              <w:rFonts w:hint="eastAsia" w:ascii="Times" w:hAnsi="Times" w:eastAsia="宋体" w:cs="Times New Roman"/>
              <w:b w:val="0"/>
              <w:bCs/>
              <w:szCs w:val="28"/>
            </w:rPr>
            <w:t>7 重大分岐意见处理经过和依据</w:t>
          </w:r>
          <w:r>
            <w:rPr>
              <w:b w:val="0"/>
              <w:bCs/>
            </w:rPr>
            <w:tab/>
          </w:r>
          <w:r>
            <w:rPr>
              <w:b w:val="0"/>
              <w:bCs/>
            </w:rPr>
            <w:fldChar w:fldCharType="begin"/>
          </w:r>
          <w:r>
            <w:rPr>
              <w:b w:val="0"/>
              <w:bCs/>
            </w:rPr>
            <w:instrText xml:space="preserve"> PAGEREF _Toc26061 \h </w:instrText>
          </w:r>
          <w:r>
            <w:rPr>
              <w:b w:val="0"/>
              <w:bCs/>
            </w:rPr>
            <w:fldChar w:fldCharType="separate"/>
          </w:r>
          <w:r>
            <w:rPr>
              <w:b w:val="0"/>
              <w:bCs/>
            </w:rPr>
            <w:t>21</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_Toc14022 </w:instrText>
          </w:r>
          <w:r>
            <w:rPr>
              <w:rFonts w:hint="eastAsia"/>
              <w:b w:val="0"/>
              <w:bCs/>
              <w:lang w:val="en-US" w:eastAsia="zh-CN"/>
            </w:rPr>
            <w:fldChar w:fldCharType="separate"/>
          </w:r>
          <w:r>
            <w:rPr>
              <w:rFonts w:hint="eastAsia" w:ascii="Times" w:hAnsi="Times" w:eastAsia="宋体" w:cs="Times New Roman"/>
              <w:b w:val="0"/>
              <w:bCs/>
              <w:szCs w:val="28"/>
            </w:rPr>
            <w:t>8 涉及国内外专利及处置情况</w:t>
          </w:r>
          <w:r>
            <w:rPr>
              <w:b w:val="0"/>
              <w:bCs/>
            </w:rPr>
            <w:tab/>
          </w:r>
          <w:r>
            <w:rPr>
              <w:b w:val="0"/>
              <w:bCs/>
            </w:rPr>
            <w:fldChar w:fldCharType="begin"/>
          </w:r>
          <w:r>
            <w:rPr>
              <w:b w:val="0"/>
              <w:bCs/>
            </w:rPr>
            <w:instrText xml:space="preserve"> PAGEREF _Toc14022 \h </w:instrText>
          </w:r>
          <w:r>
            <w:rPr>
              <w:b w:val="0"/>
              <w:bCs/>
            </w:rPr>
            <w:fldChar w:fldCharType="separate"/>
          </w:r>
          <w:r>
            <w:rPr>
              <w:b w:val="0"/>
              <w:bCs/>
            </w:rPr>
            <w:t>21</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val="0"/>
              <w:bCs/>
            </w:rPr>
          </w:pPr>
          <w:r>
            <w:rPr>
              <w:rFonts w:hint="eastAsia"/>
              <w:b w:val="0"/>
              <w:bCs/>
              <w:lang w:val="en-US" w:eastAsia="zh-CN"/>
            </w:rPr>
            <w:fldChar w:fldCharType="begin"/>
          </w:r>
          <w:r>
            <w:rPr>
              <w:rFonts w:hint="eastAsia"/>
              <w:b w:val="0"/>
              <w:bCs/>
              <w:lang w:val="en-US" w:eastAsia="zh-CN"/>
            </w:rPr>
            <w:instrText xml:space="preserve"> HYPERLINK \l _Toc29138 </w:instrText>
          </w:r>
          <w:r>
            <w:rPr>
              <w:rFonts w:hint="eastAsia"/>
              <w:b w:val="0"/>
              <w:bCs/>
              <w:lang w:val="en-US" w:eastAsia="zh-CN"/>
            </w:rPr>
            <w:fldChar w:fldCharType="separate"/>
          </w:r>
          <w:r>
            <w:rPr>
              <w:rFonts w:hint="eastAsia" w:ascii="Times" w:hAnsi="Times" w:eastAsia="宋体" w:cs="Times New Roman"/>
              <w:b w:val="0"/>
              <w:bCs/>
              <w:szCs w:val="28"/>
              <w:lang w:val="en-US" w:eastAsia="zh-CN"/>
            </w:rPr>
            <w:t>9对标准实施的建议</w:t>
          </w:r>
          <w:r>
            <w:rPr>
              <w:b w:val="0"/>
              <w:bCs/>
            </w:rPr>
            <w:tab/>
          </w:r>
          <w:r>
            <w:rPr>
              <w:b w:val="0"/>
              <w:bCs/>
            </w:rPr>
            <w:fldChar w:fldCharType="begin"/>
          </w:r>
          <w:r>
            <w:rPr>
              <w:b w:val="0"/>
              <w:bCs/>
            </w:rPr>
            <w:instrText xml:space="preserve"> PAGEREF _Toc29138 \h </w:instrText>
          </w:r>
          <w:r>
            <w:rPr>
              <w:b w:val="0"/>
              <w:bCs/>
            </w:rPr>
            <w:fldChar w:fldCharType="separate"/>
          </w:r>
          <w:r>
            <w:rPr>
              <w:b w:val="0"/>
              <w:bCs/>
            </w:rPr>
            <w:t>21</w:t>
          </w:r>
          <w:r>
            <w:rPr>
              <w:b w:val="0"/>
              <w:bCs/>
            </w:rPr>
            <w:fldChar w:fldCharType="end"/>
          </w:r>
          <w:r>
            <w:rPr>
              <w:rFonts w:hint="eastAsia"/>
              <w:b w:val="0"/>
              <w:bCs/>
              <w:lang w:val="en-US" w:eastAsia="zh-CN"/>
            </w:rPr>
            <w:fldChar w:fldCharType="end"/>
          </w:r>
        </w:p>
        <w:p>
          <w:pPr>
            <w:pStyle w:val="76"/>
            <w:keepNext w:val="0"/>
            <w:keepLines w:val="0"/>
            <w:pageBreakBefore w:val="0"/>
            <w:widowControl/>
            <w:tabs>
              <w:tab w:val="right" w:leader="dot" w:pos="8312"/>
            </w:tabs>
            <w:kinsoku/>
            <w:wordWrap/>
            <w:overflowPunct/>
            <w:topLinePunct w:val="0"/>
            <w:autoSpaceDE/>
            <w:autoSpaceDN/>
            <w:bidi w:val="0"/>
            <w:adjustRightInd/>
            <w:snapToGrid/>
            <w:spacing w:line="360" w:lineRule="auto"/>
            <w:textAlignment w:val="auto"/>
            <w:rPr>
              <w:b/>
            </w:rPr>
          </w:pPr>
          <w:r>
            <w:rPr>
              <w:rFonts w:hint="eastAsia"/>
              <w:b w:val="0"/>
              <w:bCs/>
              <w:lang w:val="en-US" w:eastAsia="zh-CN"/>
            </w:rPr>
            <w:fldChar w:fldCharType="begin"/>
          </w:r>
          <w:r>
            <w:rPr>
              <w:rFonts w:hint="eastAsia"/>
              <w:b w:val="0"/>
              <w:bCs/>
              <w:lang w:val="en-US" w:eastAsia="zh-CN"/>
            </w:rPr>
            <w:instrText xml:space="preserve"> HYPERLINK \l _Toc25207 </w:instrText>
          </w:r>
          <w:r>
            <w:rPr>
              <w:rFonts w:hint="eastAsia"/>
              <w:b w:val="0"/>
              <w:bCs/>
              <w:lang w:val="en-US" w:eastAsia="zh-CN"/>
            </w:rPr>
            <w:fldChar w:fldCharType="separate"/>
          </w:r>
          <w:r>
            <w:rPr>
              <w:rFonts w:hint="eastAsia" w:ascii="Times" w:hAnsi="Times" w:eastAsia="宋体" w:cs="Times New Roman"/>
              <w:b w:val="0"/>
              <w:bCs/>
              <w:szCs w:val="28"/>
              <w:lang w:val="en-US" w:eastAsia="zh-CN"/>
            </w:rPr>
            <w:t>10其他应予说明的事项</w:t>
          </w:r>
          <w:r>
            <w:rPr>
              <w:b w:val="0"/>
              <w:bCs/>
            </w:rPr>
            <w:tab/>
          </w:r>
          <w:r>
            <w:rPr>
              <w:b w:val="0"/>
              <w:bCs/>
            </w:rPr>
            <w:fldChar w:fldCharType="begin"/>
          </w:r>
          <w:r>
            <w:rPr>
              <w:b w:val="0"/>
              <w:bCs/>
            </w:rPr>
            <w:instrText xml:space="preserve"> PAGEREF _Toc25207 \h </w:instrText>
          </w:r>
          <w:r>
            <w:rPr>
              <w:b w:val="0"/>
              <w:bCs/>
            </w:rPr>
            <w:fldChar w:fldCharType="separate"/>
          </w:r>
          <w:r>
            <w:rPr>
              <w:b w:val="0"/>
              <w:bCs/>
            </w:rPr>
            <w:t>21</w:t>
          </w:r>
          <w:r>
            <w:rPr>
              <w:b w:val="0"/>
              <w:bCs/>
            </w:rPr>
            <w:fldChar w:fldCharType="end"/>
          </w:r>
          <w:r>
            <w:rPr>
              <w:rFonts w:hint="eastAsia"/>
              <w:b w:val="0"/>
              <w:bCs/>
              <w:lang w:val="en-US" w:eastAsia="zh-CN"/>
            </w:rPr>
            <w:fldChar w:fldCharType="end"/>
          </w:r>
        </w:p>
        <w:p>
          <w:pPr>
            <w:pStyle w:val="38"/>
            <w:spacing w:line="420" w:lineRule="atLeast"/>
            <w:ind w:firstLine="0" w:firstLineChars="0"/>
            <w:jc w:val="center"/>
            <w:rPr>
              <w:rFonts w:hint="eastAsia"/>
              <w:sz w:val="44"/>
              <w:lang w:val="en-US" w:eastAsia="zh-CN"/>
            </w:rPr>
          </w:pPr>
          <w:r>
            <w:rPr>
              <w:rFonts w:hint="eastAsia"/>
              <w:b/>
              <w:lang w:val="en-US" w:eastAsia="zh-CN"/>
            </w:rPr>
            <w:fldChar w:fldCharType="end"/>
          </w:r>
        </w:p>
      </w:sdtContent>
    </w:sdt>
    <w:p>
      <w:pPr>
        <w:rPr>
          <w:rFonts w:hint="eastAsia"/>
          <w:sz w:val="44"/>
          <w:lang w:val="en-US" w:eastAsia="zh-CN"/>
        </w:rPr>
      </w:pPr>
      <w:r>
        <w:rPr>
          <w:rFonts w:hint="eastAsia"/>
          <w:sz w:val="44"/>
          <w:lang w:val="en-US" w:eastAsia="zh-CN"/>
        </w:rPr>
        <w:br w:type="page"/>
      </w:r>
      <w:bookmarkStart w:id="88" w:name="_GoBack"/>
      <w:bookmarkEnd w:id="88"/>
    </w:p>
    <w:p>
      <w:pPr>
        <w:pStyle w:val="38"/>
        <w:spacing w:line="420" w:lineRule="atLeast"/>
        <w:ind w:firstLine="0" w:firstLineChars="0"/>
        <w:jc w:val="left"/>
        <w:rPr>
          <w:rFonts w:hint="eastAsia"/>
          <w:sz w:val="44"/>
          <w:lang w:val="en-US" w:eastAsia="zh-CN"/>
        </w:rPr>
      </w:pPr>
    </w:p>
    <w:p>
      <w:pPr>
        <w:pStyle w:val="3"/>
        <w:spacing w:before="0" w:after="0" w:line="360" w:lineRule="auto"/>
        <w:rPr>
          <w:rFonts w:ascii="Times" w:hAnsi="Times"/>
          <w:sz w:val="28"/>
          <w:szCs w:val="28"/>
        </w:rPr>
      </w:pPr>
      <w:bookmarkStart w:id="7" w:name="_Toc10423"/>
      <w:r>
        <w:rPr>
          <w:rFonts w:ascii="Times" w:hAnsi="Times"/>
          <w:sz w:val="28"/>
          <w:szCs w:val="28"/>
        </w:rPr>
        <w:t>1</w:t>
      </w:r>
      <w:r>
        <w:rPr>
          <w:rFonts w:ascii="黑体" w:hAnsi="黑体"/>
          <w:sz w:val="28"/>
          <w:szCs w:val="28"/>
        </w:rPr>
        <w:t>项目概况</w:t>
      </w:r>
      <w:bookmarkEnd w:id="7"/>
    </w:p>
    <w:p>
      <w:pPr>
        <w:pStyle w:val="5"/>
        <w:spacing w:before="0" w:after="0"/>
        <w:rPr>
          <w:rFonts w:ascii="Times" w:hAnsi="Times"/>
          <w:b w:val="0"/>
          <w:sz w:val="24"/>
          <w:szCs w:val="24"/>
        </w:rPr>
      </w:pPr>
      <w:bookmarkStart w:id="8" w:name="_Toc14763"/>
      <w:r>
        <w:rPr>
          <w:rFonts w:ascii="Times" w:hAnsi="Times"/>
          <w:b w:val="0"/>
          <w:sz w:val="24"/>
          <w:szCs w:val="24"/>
        </w:rPr>
        <w:t>1.1</w:t>
      </w:r>
      <w:r>
        <w:rPr>
          <w:rFonts w:ascii="黑体" w:hAnsi="黑体"/>
          <w:b w:val="0"/>
          <w:sz w:val="24"/>
          <w:szCs w:val="24"/>
        </w:rPr>
        <w:t>任务来源</w:t>
      </w:r>
      <w:bookmarkEnd w:id="8"/>
    </w:p>
    <w:p>
      <w:pPr>
        <w:spacing w:line="360" w:lineRule="auto"/>
        <w:ind w:firstLine="424" w:firstLineChars="177"/>
        <w:contextualSpacing/>
        <w:rPr>
          <w:rFonts w:ascii="宋体" w:hAnsi="宋体" w:cs="仿宋_GB2312"/>
          <w:sz w:val="24"/>
        </w:rPr>
      </w:pPr>
      <w:r>
        <w:rPr>
          <w:rFonts w:hint="eastAsia" w:ascii="宋体" w:hAnsi="宋体" w:cs="仿宋_GB2312"/>
          <w:sz w:val="24"/>
        </w:rPr>
        <w:t>由中国纺织经济研究中心、宁波康赛妮集团有限公司、中国毛纺织行业协会等单位联合申报的《</w:t>
      </w:r>
      <w:r>
        <w:rPr>
          <w:rFonts w:hint="eastAsia" w:ascii="宋体" w:hAnsi="宋体" w:cs="仿宋_GB2312"/>
          <w:spacing w:val="10"/>
          <w:sz w:val="24"/>
        </w:rPr>
        <w:t>节水型企业 毛纺织行业</w:t>
      </w:r>
      <w:r>
        <w:rPr>
          <w:rFonts w:hint="eastAsia" w:ascii="宋体" w:hAnsi="宋体" w:cs="仿宋_GB2312"/>
          <w:sz w:val="24"/>
        </w:rPr>
        <w:t>》行业标准，</w:t>
      </w:r>
      <w:r>
        <w:rPr>
          <w:rFonts w:ascii="宋体" w:hAnsi="宋体"/>
          <w:sz w:val="24"/>
        </w:rPr>
        <w:t>通过了中国纺织工业联合会标委会审查，工信部科技司答辩等程序，于</w:t>
      </w:r>
      <w:r>
        <w:rPr>
          <w:sz w:val="24"/>
        </w:rPr>
        <w:t>2020</w:t>
      </w:r>
      <w:r>
        <w:rPr>
          <w:rFonts w:ascii="宋体" w:hAnsi="宋体"/>
          <w:sz w:val="24"/>
        </w:rPr>
        <w:t>年</w:t>
      </w:r>
      <w:r>
        <w:rPr>
          <w:sz w:val="24"/>
        </w:rPr>
        <w:t>7</w:t>
      </w:r>
      <w:r>
        <w:rPr>
          <w:rFonts w:ascii="宋体" w:hAnsi="宋体"/>
          <w:sz w:val="24"/>
        </w:rPr>
        <w:t>月正式立项。</w:t>
      </w:r>
      <w:r>
        <w:rPr>
          <w:sz w:val="24"/>
        </w:rPr>
        <w:t>2020</w:t>
      </w:r>
      <w:r>
        <w:rPr>
          <w:rFonts w:ascii="宋体" w:hAnsi="宋体"/>
          <w:sz w:val="24"/>
        </w:rPr>
        <w:t>年</w:t>
      </w:r>
      <w:r>
        <w:rPr>
          <w:sz w:val="24"/>
        </w:rPr>
        <w:t>7</w:t>
      </w:r>
      <w:r>
        <w:rPr>
          <w:rFonts w:ascii="宋体" w:hAnsi="宋体"/>
          <w:sz w:val="24"/>
        </w:rPr>
        <w:t>月</w:t>
      </w:r>
      <w:r>
        <w:rPr>
          <w:sz w:val="24"/>
        </w:rPr>
        <w:t>18</w:t>
      </w:r>
      <w:r>
        <w:rPr>
          <w:rFonts w:ascii="宋体" w:hAnsi="宋体"/>
          <w:sz w:val="24"/>
        </w:rPr>
        <w:t>日，工业和信息化部下发了《工业和信息化部办公厅关于印发</w:t>
      </w:r>
      <w:r>
        <w:rPr>
          <w:sz w:val="24"/>
        </w:rPr>
        <w:t>2020</w:t>
      </w:r>
      <w:r>
        <w:rPr>
          <w:rFonts w:ascii="宋体" w:hAnsi="宋体"/>
          <w:sz w:val="24"/>
        </w:rPr>
        <w:t>年第二批行业标准制修订和外文版项目计划的通知》（工信厅科函〔</w:t>
      </w:r>
      <w:r>
        <w:rPr>
          <w:sz w:val="24"/>
        </w:rPr>
        <w:t>2020</w:t>
      </w:r>
      <w:r>
        <w:rPr>
          <w:rFonts w:ascii="宋体" w:hAnsi="宋体"/>
          <w:sz w:val="24"/>
        </w:rPr>
        <w:t>〕</w:t>
      </w:r>
      <w:r>
        <w:rPr>
          <w:sz w:val="24"/>
        </w:rPr>
        <w:t>181</w:t>
      </w:r>
      <w:r>
        <w:rPr>
          <w:rFonts w:ascii="宋体" w:hAnsi="宋体"/>
          <w:sz w:val="24"/>
        </w:rPr>
        <w:t>号），获批立项号为：</w:t>
      </w:r>
      <w:r>
        <w:rPr>
          <w:sz w:val="24"/>
        </w:rPr>
        <w:t>2020-0466T-FZ</w:t>
      </w:r>
      <w:r>
        <w:rPr>
          <w:rFonts w:ascii="宋体" w:hAnsi="宋体"/>
          <w:sz w:val="24"/>
        </w:rPr>
        <w:t>。该标准属于节能与综合利用领域，技术归口单位为中国纺织工业联合会。</w:t>
      </w:r>
    </w:p>
    <w:p>
      <w:pPr>
        <w:pStyle w:val="5"/>
        <w:spacing w:before="0" w:after="0"/>
        <w:rPr>
          <w:rFonts w:ascii="Times" w:hAnsi="Times"/>
          <w:b w:val="0"/>
          <w:sz w:val="24"/>
          <w:szCs w:val="24"/>
        </w:rPr>
      </w:pPr>
      <w:bookmarkStart w:id="9" w:name="_Toc8332"/>
      <w:r>
        <w:rPr>
          <w:rFonts w:ascii="Times" w:hAnsi="Times"/>
          <w:b w:val="0"/>
          <w:sz w:val="24"/>
          <w:szCs w:val="24"/>
        </w:rPr>
        <w:t>1.2目的意义</w:t>
      </w:r>
      <w:bookmarkEnd w:id="9"/>
    </w:p>
    <w:p>
      <w:pPr>
        <w:spacing w:line="360" w:lineRule="auto"/>
        <w:ind w:firstLine="424" w:firstLineChars="177"/>
        <w:contextualSpacing/>
        <w:rPr>
          <w:rFonts w:ascii="宋体" w:hAnsi="宋体" w:cs="仿宋_GB2312"/>
          <w:sz w:val="24"/>
        </w:rPr>
      </w:pPr>
      <w:r>
        <w:rPr>
          <w:sz w:val="24"/>
        </w:rPr>
        <w:t>我国是严重缺水的国家，水资源短缺已成为制约我国经济发展的主要因素之一。随着经济快速发展和人民生活水平的不断提高，我国工业用水需求一直高居不下，2019年全国工业用水总量1217.6亿立方米，占用水总量的20.2%。我国工业用水集中度高，对新鲜水的需求量大，主要集中在电力、冶炼、化工、造纸、印染等几个重点行业，占工业用水总量的60%以上。由于我国工业化进程还在持续加快，用水效率总体水平偏低，导致了水资源供需矛盾等问题愈加突出。纺织行业作为我国重要的民生产业和具有国际竞争优势的产业，规模以上企业主营业务收入近5万亿，如此大的经济体量带动了国民经济稳中向好发展，但带来的水资源消耗和水环境生态压力也不容小觑。根据相关统计，我国纺织行业用水和取水总量在全国工业中排名靠前，分居第七位和第四位，水重复利用率仅为62.5%。</w:t>
      </w:r>
    </w:p>
    <w:p>
      <w:pPr>
        <w:spacing w:line="360" w:lineRule="auto"/>
        <w:ind w:firstLine="424" w:firstLineChars="177"/>
        <w:contextualSpacing/>
        <w:rPr>
          <w:rFonts w:ascii="宋体" w:hAnsi="宋体" w:cs="仿宋_GB2312"/>
          <w:sz w:val="24"/>
        </w:rPr>
      </w:pPr>
      <w:r>
        <w:rPr>
          <w:rFonts w:ascii="宋体" w:hAnsi="宋体" w:cs="仿宋_GB2312"/>
          <w:sz w:val="24"/>
        </w:rPr>
        <w:t>2021</w:t>
      </w:r>
      <w:r>
        <w:rPr>
          <w:rFonts w:hint="eastAsia" w:ascii="宋体" w:hAnsi="宋体" w:cs="仿宋_GB2312"/>
          <w:sz w:val="24"/>
        </w:rPr>
        <w:t>年</w:t>
      </w:r>
      <w:r>
        <w:rPr>
          <w:rFonts w:ascii="宋体" w:hAnsi="宋体" w:cs="仿宋_GB2312"/>
          <w:sz w:val="24"/>
        </w:rPr>
        <w:t>6</w:t>
      </w:r>
      <w:r>
        <w:rPr>
          <w:rFonts w:hint="eastAsia" w:ascii="宋体" w:hAnsi="宋体" w:cs="仿宋_GB2312"/>
          <w:sz w:val="24"/>
        </w:rPr>
        <w:t>月，中国纺织工业联合会发布了《纺织行业“十四五”绿色发展指导意见》，指出“十三五”期间，纺织行业在节水减污、资源利用等方面取得良好成效，行业取水量逐年下降，万元产值取水量累计下降</w:t>
      </w:r>
      <w:r>
        <w:rPr>
          <w:rFonts w:ascii="宋体" w:hAnsi="宋体" w:cs="仿宋_GB2312"/>
          <w:sz w:val="24"/>
        </w:rPr>
        <w:t>11.9%</w:t>
      </w:r>
      <w:r>
        <w:rPr>
          <w:rFonts w:hint="eastAsia" w:ascii="宋体" w:hAnsi="宋体" w:cs="仿宋_GB2312"/>
          <w:sz w:val="24"/>
        </w:rPr>
        <w:t>。“十四五”主要目标是单位工业增加值水耗下降</w:t>
      </w:r>
      <w:r>
        <w:rPr>
          <w:rFonts w:ascii="宋体" w:hAnsi="宋体" w:cs="仿宋_GB2312"/>
          <w:sz w:val="24"/>
        </w:rPr>
        <w:t>10%</w:t>
      </w:r>
      <w:r>
        <w:rPr>
          <w:rFonts w:hint="eastAsia" w:ascii="宋体" w:hAnsi="宋体" w:cs="仿宋_GB2312"/>
          <w:sz w:val="24"/>
        </w:rPr>
        <w:t>，印染行业水重复利用率提高到</w:t>
      </w:r>
      <w:r>
        <w:rPr>
          <w:rFonts w:ascii="宋体" w:hAnsi="宋体" w:cs="仿宋_GB2312"/>
          <w:sz w:val="24"/>
        </w:rPr>
        <w:t>45%</w:t>
      </w:r>
      <w:r>
        <w:rPr>
          <w:rFonts w:hint="eastAsia" w:ascii="宋体" w:hAnsi="宋体" w:cs="仿宋_GB2312"/>
          <w:sz w:val="24"/>
        </w:rPr>
        <w:t>以上，开展节水型行业建设。</w:t>
      </w:r>
      <w:r>
        <w:rPr>
          <w:rFonts w:ascii="宋体" w:hAnsi="宋体" w:cs="仿宋_GB2312"/>
          <w:sz w:val="24"/>
        </w:rPr>
        <w:t>2021</w:t>
      </w:r>
      <w:r>
        <w:rPr>
          <w:rFonts w:hint="eastAsia" w:ascii="宋体" w:hAnsi="宋体" w:cs="仿宋_GB2312"/>
          <w:sz w:val="24"/>
        </w:rPr>
        <w:t>年</w:t>
      </w:r>
      <w:r>
        <w:rPr>
          <w:rFonts w:ascii="宋体" w:hAnsi="宋体" w:cs="仿宋_GB2312"/>
          <w:sz w:val="24"/>
        </w:rPr>
        <w:t>12</w:t>
      </w:r>
      <w:r>
        <w:rPr>
          <w:rFonts w:hint="eastAsia" w:ascii="宋体" w:hAnsi="宋体" w:cs="仿宋_GB2312"/>
          <w:sz w:val="24"/>
        </w:rPr>
        <w:t>月，工业和信息化部发布了《“十四五”工业绿色发展规划》，要求开展节水评价，加强工业节水标准制修订，开展水效对标达标，树立工业节水典范，提出到</w:t>
      </w:r>
      <w:r>
        <w:rPr>
          <w:rFonts w:ascii="宋体" w:hAnsi="宋体" w:cs="仿宋_GB2312"/>
          <w:sz w:val="24"/>
        </w:rPr>
        <w:t>2025</w:t>
      </w:r>
      <w:r>
        <w:rPr>
          <w:rFonts w:hint="eastAsia" w:ascii="宋体" w:hAnsi="宋体" w:cs="仿宋_GB2312"/>
          <w:sz w:val="24"/>
        </w:rPr>
        <w:t>年在钢铁、炼化、造纸、纺织印染等高耗水行业遴选5</w:t>
      </w:r>
      <w:r>
        <w:rPr>
          <w:rFonts w:ascii="宋体" w:hAnsi="宋体" w:cs="仿宋_GB2312"/>
          <w:sz w:val="24"/>
        </w:rPr>
        <w:t>0</w:t>
      </w:r>
      <w:r>
        <w:rPr>
          <w:rFonts w:hint="eastAsia" w:ascii="宋体" w:hAnsi="宋体" w:cs="仿宋_GB2312"/>
          <w:sz w:val="24"/>
        </w:rPr>
        <w:t>家水效“领跑者”，创建节水标杆。</w:t>
      </w:r>
    </w:p>
    <w:p>
      <w:pPr>
        <w:pStyle w:val="5"/>
        <w:spacing w:before="0" w:after="0"/>
        <w:rPr>
          <w:rFonts w:ascii="Times" w:hAnsi="Times"/>
          <w:b w:val="0"/>
          <w:sz w:val="24"/>
          <w:szCs w:val="24"/>
        </w:rPr>
      </w:pPr>
      <w:bookmarkStart w:id="10" w:name="_Toc8479"/>
      <w:r>
        <w:rPr>
          <w:rFonts w:ascii="Times" w:hAnsi="Times"/>
          <w:b w:val="0"/>
          <w:sz w:val="24"/>
          <w:szCs w:val="24"/>
        </w:rPr>
        <w:t>1.3主要起草单位</w:t>
      </w:r>
      <w:r>
        <w:rPr>
          <w:rFonts w:hint="eastAsia" w:ascii="Times" w:hAnsi="Times"/>
          <w:b w:val="0"/>
          <w:sz w:val="24"/>
          <w:szCs w:val="24"/>
        </w:rPr>
        <w:t>及工作</w:t>
      </w:r>
      <w:bookmarkEnd w:id="10"/>
    </w:p>
    <w:p>
      <w:pPr>
        <w:spacing w:line="360" w:lineRule="auto"/>
        <w:ind w:firstLine="424" w:firstLineChars="177"/>
        <w:contextualSpacing/>
        <w:rPr>
          <w:rFonts w:ascii="宋体" w:hAnsi="宋体"/>
          <w:sz w:val="24"/>
        </w:rPr>
      </w:pPr>
      <w:r>
        <w:rPr>
          <w:rFonts w:hint="eastAsia" w:ascii="宋体" w:hAnsi="宋体"/>
          <w:sz w:val="24"/>
        </w:rPr>
        <w:t>本文件由中国纺织工业联合会提出。</w:t>
      </w:r>
    </w:p>
    <w:p>
      <w:pPr>
        <w:spacing w:line="360" w:lineRule="auto"/>
        <w:ind w:firstLine="424" w:firstLineChars="177"/>
        <w:contextualSpacing/>
        <w:rPr>
          <w:rFonts w:ascii="宋体" w:hAnsi="宋体"/>
          <w:sz w:val="24"/>
        </w:rPr>
      </w:pPr>
      <w:r>
        <w:rPr>
          <w:rFonts w:hint="eastAsia" w:ascii="宋体" w:hAnsi="宋体"/>
          <w:sz w:val="24"/>
        </w:rPr>
        <w:t>本文件主要起草单位：中国纺织经济研究中心、康赛妮集团有限公司、山东南山智尚科技股份有限公司、山东嘉源检测技术股份有限公司、中国毛纺织行业协会、北京耀阳高技术服务有限公司。</w:t>
      </w:r>
    </w:p>
    <w:p>
      <w:pPr>
        <w:spacing w:line="360" w:lineRule="auto"/>
        <w:ind w:firstLine="424" w:firstLineChars="177"/>
        <w:contextualSpacing/>
        <w:rPr>
          <w:rFonts w:ascii="宋体" w:hAnsi="宋体"/>
          <w:sz w:val="24"/>
        </w:rPr>
      </w:pPr>
      <w:r>
        <w:rPr>
          <w:rFonts w:hint="eastAsia" w:ascii="宋体" w:hAnsi="宋体"/>
          <w:sz w:val="24"/>
        </w:rPr>
        <w:t>本文件主要起草人：</w:t>
      </w:r>
    </w:p>
    <w:p>
      <w:pPr>
        <w:spacing w:line="360" w:lineRule="auto"/>
        <w:ind w:firstLine="424" w:firstLineChars="177"/>
        <w:contextualSpacing/>
        <w:rPr>
          <w:sz w:val="24"/>
        </w:rPr>
      </w:pPr>
      <w:r>
        <w:rPr>
          <w:rFonts w:hint="eastAsia" w:ascii="宋体" w:hAnsi="宋体"/>
          <w:sz w:val="24"/>
        </w:rPr>
        <w:t>任务分配：</w:t>
      </w:r>
    </w:p>
    <w:p>
      <w:pPr>
        <w:spacing w:line="360" w:lineRule="auto"/>
        <w:ind w:firstLine="424" w:firstLineChars="177"/>
        <w:contextualSpacing/>
        <w:rPr>
          <w:sz w:val="24"/>
        </w:rPr>
      </w:pPr>
      <w:r>
        <w:rPr>
          <w:rFonts w:hint="eastAsia" w:ascii="宋体" w:hAnsi="宋体"/>
          <w:sz w:val="24"/>
        </w:rPr>
        <w:t>立项时起草单位为中国纺织经济研究中心、康赛妮集团有限公司、</w:t>
      </w:r>
      <w:r>
        <w:rPr>
          <w:rFonts w:hint="eastAsia" w:ascii="宋体" w:hAnsi="宋体" w:cs="仿宋_GB2312"/>
          <w:color w:val="000000"/>
          <w:sz w:val="24"/>
        </w:rPr>
        <w:t>中国毛纺织行业协会</w:t>
      </w:r>
      <w:r>
        <w:rPr>
          <w:rFonts w:hint="eastAsia" w:ascii="宋体" w:hAnsi="宋体"/>
          <w:sz w:val="24"/>
        </w:rPr>
        <w:t>等。中国纺织经济研究中心作为行业主管部门负责制定标准的管理、协调与技术把关等综合性工作，并充分依托企业生产实际，对工艺路线、计量统计等信息进行统一收集、分析和整理。康赛妮集团有限公司作为标准起草的主编单位之一，负责数据收集和处理、标准起草等相关工作。</w:t>
      </w:r>
      <w:bookmarkStart w:id="11" w:name="_Toc310354283"/>
      <w:bookmarkStart w:id="12" w:name="_Toc309915943"/>
      <w:bookmarkStart w:id="13" w:name="_Toc309910710"/>
      <w:bookmarkStart w:id="14" w:name="_Toc309893699"/>
      <w:bookmarkStart w:id="15" w:name="_Toc309895179"/>
      <w:bookmarkStart w:id="16" w:name="_Toc310070362"/>
      <w:r>
        <w:rPr>
          <w:rFonts w:hint="eastAsia" w:ascii="宋体" w:hAnsi="宋体"/>
          <w:sz w:val="24"/>
        </w:rPr>
        <w:t>中国毛纺织行业协会作为标准起草的主编单位之一，负责企业调研、数据收集和处理、标准起草、会议组织</w:t>
      </w:r>
      <w:bookmarkEnd w:id="11"/>
      <w:bookmarkEnd w:id="12"/>
      <w:bookmarkEnd w:id="13"/>
      <w:bookmarkEnd w:id="14"/>
      <w:bookmarkEnd w:id="15"/>
      <w:bookmarkEnd w:id="16"/>
      <w:r>
        <w:rPr>
          <w:rFonts w:hint="eastAsia" w:ascii="宋体" w:hAnsi="宋体"/>
          <w:sz w:val="24"/>
        </w:rPr>
        <w:t>等相关工作。</w:t>
      </w:r>
    </w:p>
    <w:p>
      <w:pPr>
        <w:spacing w:line="360" w:lineRule="auto"/>
        <w:ind w:firstLine="424" w:firstLineChars="177"/>
        <w:contextualSpacing/>
        <w:rPr>
          <w:rFonts w:ascii="宋体" w:hAnsi="宋体"/>
          <w:sz w:val="24"/>
        </w:rPr>
      </w:pPr>
      <w:r>
        <w:rPr>
          <w:rFonts w:hint="eastAsia" w:ascii="宋体" w:hAnsi="宋体"/>
          <w:sz w:val="24"/>
        </w:rPr>
        <w:t>山东南山智尚科技股份有限公司、山东嘉源检测技术股份有限公司、北京耀阳高技术服务有限公司等均抽调专业技术人员参与标准起草工作。</w:t>
      </w:r>
    </w:p>
    <w:p>
      <w:pPr>
        <w:pStyle w:val="5"/>
        <w:spacing w:before="0" w:after="0"/>
        <w:rPr>
          <w:rFonts w:ascii="Times" w:hAnsi="Times"/>
          <w:b w:val="0"/>
          <w:sz w:val="24"/>
          <w:szCs w:val="24"/>
        </w:rPr>
      </w:pPr>
      <w:bookmarkStart w:id="17" w:name="_Toc14451"/>
      <w:r>
        <w:rPr>
          <w:rFonts w:ascii="Times" w:hAnsi="Times"/>
          <w:b w:val="0"/>
          <w:sz w:val="24"/>
          <w:szCs w:val="24"/>
        </w:rPr>
        <w:t>1.4 编制过程</w:t>
      </w:r>
      <w:bookmarkEnd w:id="17"/>
    </w:p>
    <w:p>
      <w:pPr>
        <w:spacing w:line="360" w:lineRule="auto"/>
        <w:ind w:firstLine="424" w:firstLineChars="177"/>
        <w:contextualSpacing/>
        <w:rPr>
          <w:rFonts w:ascii="宋体" w:hAnsi="宋体"/>
          <w:sz w:val="24"/>
        </w:rPr>
      </w:pPr>
      <w:r>
        <w:rPr>
          <w:rFonts w:hint="eastAsia" w:ascii="宋体" w:hAnsi="宋体"/>
          <w:sz w:val="24"/>
        </w:rPr>
        <w:t>标准起草从</w:t>
      </w:r>
      <w:r>
        <w:rPr>
          <w:sz w:val="24"/>
        </w:rPr>
        <w:t>2020</w:t>
      </w:r>
      <w:r>
        <w:rPr>
          <w:rFonts w:hint="eastAsia" w:ascii="宋体" w:hAnsi="宋体"/>
          <w:sz w:val="24"/>
        </w:rPr>
        <w:t>年1</w:t>
      </w:r>
      <w:r>
        <w:rPr>
          <w:rFonts w:ascii="宋体" w:hAnsi="宋体"/>
          <w:sz w:val="24"/>
        </w:rPr>
        <w:t>0</w:t>
      </w:r>
      <w:r>
        <w:rPr>
          <w:rFonts w:hint="eastAsia" w:ascii="宋体" w:hAnsi="宋体"/>
          <w:sz w:val="24"/>
        </w:rPr>
        <w:t>月开始，可以分为成立起草小组、文献收集和分析、草案起草四个阶段。</w:t>
      </w:r>
    </w:p>
    <w:p>
      <w:pPr>
        <w:spacing w:line="360" w:lineRule="auto"/>
        <w:ind w:firstLine="424" w:firstLineChars="177"/>
        <w:contextualSpacing/>
        <w:rPr>
          <w:sz w:val="24"/>
        </w:rPr>
      </w:pPr>
      <w:r>
        <w:rPr>
          <w:rFonts w:hint="eastAsia" w:ascii="宋体" w:hAnsi="宋体"/>
          <w:sz w:val="24"/>
        </w:rPr>
        <w:t>第一阶段：成立起草小组</w:t>
      </w:r>
    </w:p>
    <w:p>
      <w:pPr>
        <w:spacing w:line="360" w:lineRule="auto"/>
        <w:ind w:firstLine="424" w:firstLineChars="177"/>
        <w:contextualSpacing/>
        <w:rPr>
          <w:rFonts w:ascii="宋体" w:hAnsi="宋体"/>
          <w:sz w:val="24"/>
        </w:rPr>
      </w:pPr>
      <w:r>
        <w:rPr>
          <w:sz w:val="24"/>
        </w:rPr>
        <w:t>2020</w:t>
      </w:r>
      <w:r>
        <w:rPr>
          <w:rFonts w:hint="eastAsia" w:ascii="宋体" w:hAnsi="宋体"/>
          <w:sz w:val="24"/>
        </w:rPr>
        <w:t>年</w:t>
      </w:r>
      <w:r>
        <w:rPr>
          <w:sz w:val="24"/>
        </w:rPr>
        <w:t>10</w:t>
      </w:r>
      <w:r>
        <w:rPr>
          <w:rFonts w:hint="eastAsia" w:ascii="宋体" w:hAnsi="宋体"/>
          <w:sz w:val="24"/>
        </w:rPr>
        <w:t>月，中国纺织经济研究中心、康赛妮集团有限公司、</w:t>
      </w:r>
      <w:r>
        <w:rPr>
          <w:rFonts w:hint="eastAsia" w:ascii="宋体" w:hAnsi="宋体" w:cs="仿宋_GB2312"/>
          <w:color w:val="000000"/>
          <w:sz w:val="24"/>
        </w:rPr>
        <w:t>中国毛纺织行业协会、</w:t>
      </w:r>
      <w:r>
        <w:rPr>
          <w:rFonts w:hint="eastAsia" w:ascii="宋体" w:hAnsi="宋体"/>
          <w:sz w:val="24"/>
        </w:rPr>
        <w:t>北京耀阳高技术服务有限公司等单位召开线上研讨会，就标准草案和框架进行交流研讨，组织成立标准起草小组，正式启动该项标准研制工作。</w:t>
      </w:r>
    </w:p>
    <w:p>
      <w:pPr>
        <w:spacing w:line="360" w:lineRule="auto"/>
        <w:ind w:firstLine="424" w:firstLineChars="177"/>
        <w:contextualSpacing/>
        <w:rPr>
          <w:sz w:val="24"/>
        </w:rPr>
      </w:pPr>
      <w:r>
        <w:rPr>
          <w:rFonts w:hint="eastAsia" w:ascii="宋体" w:hAnsi="宋体"/>
          <w:sz w:val="24"/>
        </w:rPr>
        <w:t>第二阶段：文献收集和分析</w:t>
      </w:r>
    </w:p>
    <w:p>
      <w:pPr>
        <w:spacing w:line="360" w:lineRule="auto"/>
        <w:ind w:firstLine="424" w:firstLineChars="177"/>
        <w:contextualSpacing/>
        <w:rPr>
          <w:sz w:val="24"/>
        </w:rPr>
      </w:pPr>
      <w:r>
        <w:rPr>
          <w:sz w:val="24"/>
        </w:rPr>
        <w:t>2020</w:t>
      </w:r>
      <w:r>
        <w:rPr>
          <w:rFonts w:hint="eastAsia"/>
          <w:sz w:val="24"/>
        </w:rPr>
        <w:t>年</w:t>
      </w:r>
      <w:r>
        <w:rPr>
          <w:sz w:val="24"/>
        </w:rPr>
        <w:t>10</w:t>
      </w:r>
      <w:r>
        <w:rPr>
          <w:rFonts w:hint="eastAsia"/>
          <w:sz w:val="24"/>
        </w:rPr>
        <w:t>月～</w:t>
      </w:r>
      <w:r>
        <w:rPr>
          <w:sz w:val="24"/>
        </w:rPr>
        <w:t>12</w:t>
      </w:r>
      <w:r>
        <w:rPr>
          <w:rFonts w:hint="eastAsia"/>
          <w:sz w:val="24"/>
        </w:rPr>
        <w:t>月，为做好标准制定工作，重点研究和分析了以下相关标准、文件和资料：《用水单位水计量器具配备和管理通则》（GB 24789-2009）、《节水型企业评价导则》（GB/T 7119）、《企业水平衡测试通则》（GB/T 12452）、《节约用水 术语》（GB/T 21534）《节水型企业 纺织染整行业》（GB/T26923-2011）、《节水型企业 化纤长丝织造行业》（GB/T</w:t>
      </w:r>
      <w:r>
        <w:rPr>
          <w:sz w:val="24"/>
        </w:rPr>
        <w:t xml:space="preserve"> 37832</w:t>
      </w:r>
      <w:r>
        <w:rPr>
          <w:rFonts w:hint="eastAsia"/>
          <w:sz w:val="24"/>
        </w:rPr>
        <w:t>-201</w:t>
      </w:r>
      <w:r>
        <w:rPr>
          <w:sz w:val="24"/>
        </w:rPr>
        <w:t>9</w:t>
      </w:r>
      <w:r>
        <w:rPr>
          <w:rFonts w:hint="eastAsia"/>
          <w:sz w:val="24"/>
        </w:rPr>
        <w:t>）、《印染行业规范条件（20</w:t>
      </w:r>
      <w:r>
        <w:rPr>
          <w:sz w:val="24"/>
        </w:rPr>
        <w:t>23</w:t>
      </w:r>
      <w:r>
        <w:rPr>
          <w:rFonts w:hint="eastAsia"/>
          <w:sz w:val="24"/>
        </w:rPr>
        <w:t>年版）》等，作为编制本技术规范的支撑性资料。</w:t>
      </w:r>
    </w:p>
    <w:p>
      <w:pPr>
        <w:spacing w:line="360" w:lineRule="auto"/>
        <w:ind w:firstLine="424" w:firstLineChars="177"/>
        <w:contextualSpacing/>
        <w:rPr>
          <w:sz w:val="24"/>
        </w:rPr>
      </w:pPr>
      <w:r>
        <w:rPr>
          <w:rFonts w:hint="eastAsia" w:ascii="宋体" w:hAnsi="宋体"/>
          <w:sz w:val="24"/>
        </w:rPr>
        <w:t>第三阶段：草案阶段</w:t>
      </w:r>
    </w:p>
    <w:p>
      <w:pPr>
        <w:spacing w:line="360" w:lineRule="auto"/>
        <w:ind w:firstLine="424" w:firstLineChars="177"/>
        <w:contextualSpacing/>
        <w:rPr>
          <w:sz w:val="24"/>
        </w:rPr>
      </w:pPr>
      <w:r>
        <w:rPr>
          <w:rFonts w:hint="eastAsia"/>
          <w:sz w:val="24"/>
        </w:rPr>
        <w:t>2022年2月23日中毛协发出了“</w:t>
      </w:r>
      <w:bookmarkStart w:id="18" w:name="_Hlk140174256"/>
      <w:r>
        <w:rPr>
          <w:rFonts w:hint="eastAsia"/>
          <w:sz w:val="24"/>
        </w:rPr>
        <w:t>毛纺织行业</w:t>
      </w:r>
      <w:bookmarkEnd w:id="18"/>
      <w:r>
        <w:rPr>
          <w:rFonts w:hint="eastAsia"/>
          <w:sz w:val="24"/>
        </w:rPr>
        <w:t>重点用水指标调研的函”，收到23家企业正式回复和近10家企业的口头沟通交流，收集意见近40条，经编制组汇总分析，形成了初稿。</w:t>
      </w:r>
    </w:p>
    <w:p>
      <w:pPr>
        <w:spacing w:line="360" w:lineRule="auto"/>
        <w:ind w:firstLine="424" w:firstLineChars="177"/>
        <w:contextualSpacing/>
        <w:rPr>
          <w:sz w:val="24"/>
        </w:rPr>
      </w:pPr>
      <w:r>
        <w:rPr>
          <w:rFonts w:hint="eastAsia"/>
          <w:sz w:val="24"/>
        </w:rPr>
        <w:t>2022年6月17日，</w:t>
      </w:r>
      <w:bookmarkStart w:id="19" w:name="_Hlk140176124"/>
      <w:r>
        <w:rPr>
          <w:sz w:val="24"/>
        </w:rPr>
        <w:t>中国纺织工业联合会</w:t>
      </w:r>
      <w:r>
        <w:rPr>
          <w:rFonts w:hint="eastAsia"/>
          <w:sz w:val="24"/>
        </w:rPr>
        <w:t>产业部</w:t>
      </w:r>
      <w:bookmarkEnd w:id="19"/>
      <w:r>
        <w:rPr>
          <w:rFonts w:hint="eastAsia"/>
          <w:sz w:val="24"/>
        </w:rPr>
        <w:t>、中国毛纺织行业协会组织了初稿线上研讨会，37家企业参加了研讨，在充分讨论的基础上，对初稿进行了补充、修改。之后又通过线上小程序对重点技术指标进行了问卷调查，主要涉及水的重复利用、用水漏损、水计量器具配备率、非常规水利用、水源结构等主要指标，意见汇总整理如下：</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1346"/>
        <w:gridCol w:w="4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spacing w:line="360" w:lineRule="auto"/>
              <w:jc w:val="center"/>
            </w:pPr>
            <w:r>
              <w:t>内容</w:t>
            </w:r>
          </w:p>
        </w:tc>
        <w:tc>
          <w:tcPr>
            <w:tcW w:w="1346" w:type="dxa"/>
            <w:vAlign w:val="center"/>
          </w:tcPr>
          <w:p>
            <w:pPr>
              <w:spacing w:line="360" w:lineRule="auto"/>
              <w:jc w:val="center"/>
            </w:pPr>
            <w:r>
              <w:t>指标建议值</w:t>
            </w:r>
          </w:p>
        </w:tc>
        <w:tc>
          <w:tcPr>
            <w:tcW w:w="4763" w:type="dxa"/>
            <w:vAlign w:val="center"/>
          </w:tcPr>
          <w:p>
            <w:pPr>
              <w:spacing w:line="360" w:lineRule="auto"/>
              <w:ind w:firstLine="564"/>
              <w:jc w:val="center"/>
            </w:pPr>
            <w: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化学水制取系数</w:t>
            </w:r>
          </w:p>
        </w:tc>
        <w:tc>
          <w:tcPr>
            <w:tcW w:w="1346" w:type="dxa"/>
            <w:vAlign w:val="center"/>
          </w:tcPr>
          <w:p>
            <w:pPr>
              <w:spacing w:line="360" w:lineRule="auto"/>
              <w:jc w:val="left"/>
            </w:pPr>
            <w:r>
              <w:t>90%以上，或系数1.08</w:t>
            </w:r>
          </w:p>
        </w:tc>
        <w:tc>
          <w:tcPr>
            <w:tcW w:w="4763" w:type="dxa"/>
            <w:vAlign w:val="center"/>
          </w:tcPr>
          <w:p>
            <w:pPr>
              <w:spacing w:line="360" w:lineRule="auto"/>
              <w:jc w:val="left"/>
            </w:pPr>
            <w:r>
              <w:t>各个厂家所在地区取水资源环境不同、水质不同、软化水处理工艺不同；制取主要根据各企业产品加工对水质的实际要求，而不应作为评价指标。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直接冷却水循环率</w:t>
            </w:r>
          </w:p>
        </w:tc>
        <w:tc>
          <w:tcPr>
            <w:tcW w:w="1346" w:type="dxa"/>
            <w:vAlign w:val="center"/>
          </w:tcPr>
          <w:p>
            <w:pPr>
              <w:spacing w:line="360" w:lineRule="auto"/>
              <w:jc w:val="left"/>
            </w:pPr>
            <w:r>
              <w:t>50%</w:t>
            </w:r>
          </w:p>
        </w:tc>
        <w:tc>
          <w:tcPr>
            <w:tcW w:w="4763" w:type="dxa"/>
            <w:vAlign w:val="center"/>
          </w:tcPr>
          <w:p>
            <w:pPr>
              <w:spacing w:line="360" w:lineRule="auto"/>
              <w:jc w:val="left"/>
            </w:pPr>
            <w:r>
              <w:t>各家生产厂家所加工的产品种类不同，循环利用方式不同，无法统一标准精确计量、测算。使用间接热交换较多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间接冷却水循环率</w:t>
            </w:r>
          </w:p>
        </w:tc>
        <w:tc>
          <w:tcPr>
            <w:tcW w:w="1346" w:type="dxa"/>
            <w:vAlign w:val="center"/>
          </w:tcPr>
          <w:p>
            <w:pPr>
              <w:spacing w:line="360" w:lineRule="auto"/>
              <w:jc w:val="left"/>
            </w:pPr>
            <w:r>
              <w:t>90%以上</w:t>
            </w:r>
          </w:p>
        </w:tc>
        <w:tc>
          <w:tcPr>
            <w:tcW w:w="4763" w:type="dxa"/>
            <w:vAlign w:val="center"/>
          </w:tcPr>
          <w:p>
            <w:pPr>
              <w:spacing w:line="360" w:lineRule="auto"/>
              <w:jc w:val="left"/>
            </w:pPr>
            <w:r>
              <w:t>各家生产厂家所加工的产品种类不同，循环利用方式不同，无法统一标准精确计量、测算。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循环水浓缩倍数</w:t>
            </w:r>
          </w:p>
        </w:tc>
        <w:tc>
          <w:tcPr>
            <w:tcW w:w="1346" w:type="dxa"/>
            <w:vAlign w:val="center"/>
          </w:tcPr>
          <w:p>
            <w:pPr>
              <w:spacing w:line="360" w:lineRule="auto"/>
              <w:jc w:val="left"/>
            </w:pPr>
            <w:r>
              <w:t>2%以上</w:t>
            </w:r>
          </w:p>
        </w:tc>
        <w:tc>
          <w:tcPr>
            <w:tcW w:w="4763" w:type="dxa"/>
            <w:vAlign w:val="center"/>
          </w:tcPr>
          <w:p>
            <w:pPr>
              <w:spacing w:line="360" w:lineRule="auto"/>
              <w:jc w:val="left"/>
            </w:pPr>
            <w:r>
              <w:t>没有具体要求，不适用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蒸汽冷凝水回收率</w:t>
            </w:r>
          </w:p>
        </w:tc>
        <w:tc>
          <w:tcPr>
            <w:tcW w:w="1346" w:type="dxa"/>
            <w:vAlign w:val="center"/>
          </w:tcPr>
          <w:p>
            <w:pPr>
              <w:spacing w:line="360" w:lineRule="auto"/>
              <w:jc w:val="left"/>
            </w:pPr>
            <w:r>
              <w:t>95%以上</w:t>
            </w:r>
          </w:p>
        </w:tc>
        <w:tc>
          <w:tcPr>
            <w:tcW w:w="4763" w:type="dxa"/>
            <w:vAlign w:val="center"/>
          </w:tcPr>
          <w:p>
            <w:pPr>
              <w:spacing w:line="360" w:lineRule="auto"/>
              <w:jc w:val="left"/>
            </w:pPr>
            <w:r>
              <w:t>蒸汽冷凝水偏碱性，各家生产厂家所加工的产品种类不同，回用方式不同，蒸汽冷凝水无法精确计量、测算。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蒸汽冷凝水回用率</w:t>
            </w:r>
          </w:p>
        </w:tc>
        <w:tc>
          <w:tcPr>
            <w:tcW w:w="1346" w:type="dxa"/>
            <w:vAlign w:val="center"/>
          </w:tcPr>
          <w:p>
            <w:pPr>
              <w:spacing w:line="360" w:lineRule="auto"/>
              <w:jc w:val="left"/>
            </w:pPr>
            <w:r>
              <w:t>95%以上</w:t>
            </w:r>
          </w:p>
        </w:tc>
        <w:tc>
          <w:tcPr>
            <w:tcW w:w="4763" w:type="dxa"/>
            <w:vAlign w:val="center"/>
          </w:tcPr>
          <w:p>
            <w:pPr>
              <w:spacing w:line="360" w:lineRule="auto"/>
              <w:jc w:val="left"/>
            </w:pPr>
            <w:r>
              <w:t>外部供热企业不适用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废水回用率</w:t>
            </w:r>
          </w:p>
        </w:tc>
        <w:tc>
          <w:tcPr>
            <w:tcW w:w="1346" w:type="dxa"/>
            <w:vAlign w:val="center"/>
          </w:tcPr>
          <w:p>
            <w:pPr>
              <w:spacing w:line="360" w:lineRule="auto"/>
              <w:jc w:val="left"/>
            </w:pPr>
            <w:r>
              <w:t>30%以上</w:t>
            </w:r>
          </w:p>
        </w:tc>
        <w:tc>
          <w:tcPr>
            <w:tcW w:w="4763" w:type="dxa"/>
            <w:vAlign w:val="center"/>
          </w:tcPr>
          <w:p>
            <w:pPr>
              <w:spacing w:line="360" w:lineRule="auto"/>
              <w:jc w:val="left"/>
            </w:pPr>
            <w:r>
              <w:t>影响产品质量、废水处理加入太多化学助剂，现有技术未使用于生产用水、不应是强制性评价指标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水表计量率</w:t>
            </w:r>
          </w:p>
        </w:tc>
        <w:tc>
          <w:tcPr>
            <w:tcW w:w="1346" w:type="dxa"/>
            <w:vAlign w:val="center"/>
          </w:tcPr>
          <w:p>
            <w:pPr>
              <w:spacing w:line="360" w:lineRule="auto"/>
              <w:jc w:val="left"/>
            </w:pPr>
            <w:r>
              <w:t>一级计量100%，二级计量95%</w:t>
            </w:r>
          </w:p>
        </w:tc>
        <w:tc>
          <w:tcPr>
            <w:tcW w:w="4763" w:type="dxa"/>
            <w:vAlign w:val="center"/>
          </w:tcPr>
          <w:p>
            <w:pPr>
              <w:spacing w:line="360" w:lineRule="auto"/>
              <w:jc w:val="left"/>
            </w:pPr>
            <w:r>
              <w:t>应当用外部对企业的收费取水量排污量为准，如存在企业偷水、偷排现象，当属违法企业予以严格惩处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单位产品排水量</w:t>
            </w:r>
          </w:p>
        </w:tc>
        <w:tc>
          <w:tcPr>
            <w:tcW w:w="1346" w:type="dxa"/>
            <w:vAlign w:val="center"/>
          </w:tcPr>
          <w:p>
            <w:pPr>
              <w:spacing w:line="360" w:lineRule="auto"/>
              <w:jc w:val="left"/>
            </w:pPr>
            <w:r>
              <w:t>取水量的90%</w:t>
            </w:r>
          </w:p>
        </w:tc>
        <w:tc>
          <w:tcPr>
            <w:tcW w:w="4763" w:type="dxa"/>
            <w:vAlign w:val="center"/>
          </w:tcPr>
          <w:p>
            <w:pPr>
              <w:spacing w:line="360" w:lineRule="auto"/>
              <w:jc w:val="left"/>
            </w:pPr>
            <w:r>
              <w:t>产品太多很难统计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达标排放率</w:t>
            </w:r>
          </w:p>
        </w:tc>
        <w:tc>
          <w:tcPr>
            <w:tcW w:w="1346" w:type="dxa"/>
            <w:vAlign w:val="center"/>
          </w:tcPr>
          <w:p>
            <w:pPr>
              <w:spacing w:line="360" w:lineRule="auto"/>
              <w:jc w:val="left"/>
            </w:pPr>
            <w:r>
              <w:t>100%达标排放</w:t>
            </w:r>
          </w:p>
        </w:tc>
        <w:tc>
          <w:tcPr>
            <w:tcW w:w="4763" w:type="dxa"/>
            <w:vAlign w:val="center"/>
          </w:tcPr>
          <w:p>
            <w:pPr>
              <w:spacing w:line="360" w:lineRule="auto"/>
              <w:jc w:val="left"/>
            </w:pPr>
            <w:r>
              <w:t>只有一家认为不合理，没有写明原因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非常规水资源替代率</w:t>
            </w:r>
          </w:p>
        </w:tc>
        <w:tc>
          <w:tcPr>
            <w:tcW w:w="1346" w:type="dxa"/>
            <w:vAlign w:val="center"/>
          </w:tcPr>
          <w:p>
            <w:pPr>
              <w:spacing w:line="360" w:lineRule="auto"/>
              <w:jc w:val="left"/>
            </w:pPr>
            <w:r>
              <w:t>45%以上</w:t>
            </w:r>
          </w:p>
        </w:tc>
        <w:tc>
          <w:tcPr>
            <w:tcW w:w="4763" w:type="dxa"/>
            <w:vAlign w:val="center"/>
          </w:tcPr>
          <w:p>
            <w:pPr>
              <w:spacing w:line="360" w:lineRule="auto"/>
              <w:jc w:val="left"/>
            </w:pPr>
            <w:r>
              <w:t>非常规水资源需视各地区情况而定、不是一般毛纺织用水企业可以把控的、很难实施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jc w:val="left"/>
            </w:pPr>
            <w:r>
              <w:t>非常规水资源利用率</w:t>
            </w:r>
          </w:p>
        </w:tc>
        <w:tc>
          <w:tcPr>
            <w:tcW w:w="1346" w:type="dxa"/>
            <w:vAlign w:val="center"/>
          </w:tcPr>
          <w:p>
            <w:pPr>
              <w:spacing w:line="360" w:lineRule="auto"/>
              <w:jc w:val="left"/>
            </w:pPr>
            <w:r>
              <w:t>同上</w:t>
            </w:r>
          </w:p>
        </w:tc>
        <w:tc>
          <w:tcPr>
            <w:tcW w:w="4763" w:type="dxa"/>
            <w:vAlign w:val="center"/>
          </w:tcPr>
          <w:p>
            <w:pPr>
              <w:spacing w:line="360" w:lineRule="auto"/>
              <w:jc w:val="left"/>
            </w:pPr>
            <w:r>
              <w:t>同上</w:t>
            </w:r>
          </w:p>
        </w:tc>
      </w:tr>
    </w:tbl>
    <w:p>
      <w:pPr>
        <w:spacing w:line="360" w:lineRule="auto"/>
        <w:ind w:firstLine="424" w:firstLineChars="177"/>
        <w:contextualSpacing/>
        <w:rPr>
          <w:rFonts w:ascii="宋体" w:hAnsi="宋体"/>
          <w:sz w:val="24"/>
        </w:rPr>
      </w:pPr>
    </w:p>
    <w:p>
      <w:pPr>
        <w:spacing w:line="360" w:lineRule="auto"/>
        <w:ind w:firstLine="424" w:firstLineChars="177"/>
        <w:contextualSpacing/>
        <w:rPr>
          <w:kern w:val="0"/>
          <w:sz w:val="24"/>
        </w:rPr>
      </w:pPr>
      <w:r>
        <w:rPr>
          <w:rFonts w:hint="eastAsia" w:ascii="宋体" w:hAnsi="宋体"/>
          <w:sz w:val="24"/>
        </w:rPr>
        <w:t>第四阶段：征求意见阶段</w:t>
      </w:r>
    </w:p>
    <w:p>
      <w:pPr>
        <w:spacing w:line="360" w:lineRule="auto"/>
        <w:ind w:firstLine="424" w:firstLineChars="177"/>
        <w:contextualSpacing/>
        <w:rPr>
          <w:sz w:val="24"/>
          <w:lang w:val="zh-CN"/>
        </w:rPr>
      </w:pPr>
      <w:r>
        <w:rPr>
          <w:rFonts w:hint="eastAsia" w:ascii="宋体" w:hAnsi="宋体"/>
          <w:sz w:val="24"/>
        </w:rPr>
        <w:t>编制组对初稿进行修改完善后，形成了征求意见稿</w:t>
      </w:r>
      <w:r>
        <w:rPr>
          <w:sz w:val="24"/>
        </w:rPr>
        <w:t>及编制说明等材料，于2023年</w:t>
      </w:r>
      <w:r>
        <w:rPr>
          <w:rFonts w:hint="eastAsia"/>
          <w:sz w:val="24"/>
        </w:rPr>
        <w:t>10</w:t>
      </w:r>
      <w:r>
        <w:rPr>
          <w:sz w:val="24"/>
        </w:rPr>
        <w:t>月1</w:t>
      </w:r>
      <w:r>
        <w:rPr>
          <w:rFonts w:hint="eastAsia"/>
          <w:sz w:val="24"/>
        </w:rPr>
        <w:t>3</w:t>
      </w:r>
      <w:r>
        <w:rPr>
          <w:sz w:val="24"/>
        </w:rPr>
        <w:t>日，由中国纺织工业联合会产业部组织发函公开征求意见。</w:t>
      </w:r>
    </w:p>
    <w:p>
      <w:pPr>
        <w:pStyle w:val="3"/>
        <w:spacing w:before="0" w:after="0" w:line="360" w:lineRule="auto"/>
        <w:rPr>
          <w:rFonts w:ascii="Times" w:hAnsi="Times" w:eastAsia="宋体" w:cs="Times New Roman"/>
          <w:sz w:val="28"/>
          <w:szCs w:val="28"/>
        </w:rPr>
      </w:pPr>
      <w:bookmarkStart w:id="20" w:name="_Toc15348"/>
      <w:bookmarkStart w:id="21" w:name="_Toc15681"/>
      <w:r>
        <w:rPr>
          <w:rFonts w:ascii="Times" w:hAnsi="Times" w:eastAsia="宋体" w:cs="Times New Roman"/>
          <w:sz w:val="28"/>
          <w:szCs w:val="28"/>
        </w:rPr>
        <w:t>2.</w:t>
      </w:r>
      <w:r>
        <w:rPr>
          <w:rFonts w:hint="eastAsia" w:ascii="Times" w:hAnsi="Times" w:eastAsia="宋体" w:cs="Times New Roman"/>
          <w:sz w:val="28"/>
          <w:szCs w:val="28"/>
        </w:rPr>
        <w:t>毛纺织行业</w:t>
      </w:r>
      <w:r>
        <w:rPr>
          <w:rFonts w:ascii="Times" w:hAnsi="Times" w:eastAsia="宋体" w:cs="Times New Roman"/>
          <w:sz w:val="28"/>
          <w:szCs w:val="28"/>
        </w:rPr>
        <w:t>相关情况</w:t>
      </w:r>
      <w:bookmarkEnd w:id="20"/>
      <w:bookmarkEnd w:id="21"/>
    </w:p>
    <w:p>
      <w:pPr>
        <w:spacing w:line="360" w:lineRule="auto"/>
        <w:ind w:firstLine="424" w:firstLineChars="177"/>
        <w:contextualSpacing/>
        <w:rPr>
          <w:rFonts w:ascii="宋体" w:hAnsi="宋体" w:cs="仿宋_GB2312"/>
          <w:sz w:val="24"/>
        </w:rPr>
      </w:pPr>
      <w:r>
        <w:rPr>
          <w:rFonts w:hint="eastAsia" w:ascii="宋体" w:hAnsi="宋体" w:cs="仿宋_GB2312"/>
          <w:sz w:val="24"/>
        </w:rPr>
        <w:t>我国毛纺织行业在“十三五”期间，总体规模有所收缩，但产业集群内规模以下企业数量有所增加，优势资源向头部企业集中，小微企业活力得到释放。2020 年，毛纺织和染整精加工规模以上企业 893 户，完成主营业务收入 1311.45亿元，实现利润总额 25.28 亿元；5 家上市企业（毛纺织板块）全年主营业务收入占规上毛纺织企业比重由“十三五”初期的3.6%上升至 6.6%；数据显示，2020 年全国 15 个重点毛纺产业集群（以毛纺原料初级加工、毛纱、毛针织服装加工、流通为主）3.16 万户规模以下企业完成主营业务收入 1201.46 亿元，实现利润总额 51.99 亿元，比 2016 年分别增长 31.02%和 34.49%，规模以下企业数量和从业人员分别增长 2.51%和 10.56%，人均产值比 2016 年提高近十四个百分点。长三角、珠三角和京津冀区域的产业集群逐步向时尚化、数字化、品质化方向调整升级，中西部地区承接产业转移能力持续增强，产业聚集效应愈发明显。</w:t>
      </w:r>
    </w:p>
    <w:p>
      <w:pPr>
        <w:spacing w:line="360" w:lineRule="auto"/>
        <w:ind w:firstLine="424" w:firstLineChars="177"/>
        <w:contextualSpacing/>
        <w:rPr>
          <w:rFonts w:ascii="宋体" w:hAnsi="宋体" w:cs="仿宋_GB2312"/>
          <w:sz w:val="24"/>
        </w:rPr>
      </w:pPr>
      <w:r>
        <w:rPr>
          <w:rFonts w:hint="eastAsia" w:ascii="宋体" w:hAnsi="宋体" w:cs="仿宋_GB2312"/>
          <w:sz w:val="24"/>
        </w:rPr>
        <w:t>《毛纺织行业“十四五”发展指导意见》明确指出，全面提升毛纺织行业可持续发展水平要着力于推进绿色制造体系建设，鼓励企业扩大应用生态环保、节能节水工艺、技术和装备，采用精细化和现代化管理手段，完善采购、生产、营销、回收及物流体系，围绕开发绿色产品、构建绿色工厂、打造绿色供应链，推进行业绿色制造水平整体提升；健全毛纺织行业绿色标准体系，完善各品类毛纺织产品绿色设计产品评价技术规范，鼓励企业积极参与能耗、水耗、资源综合利用、产品碳足迹等标准的制修订工作，为夯实行业绿色制造基础提供有力支撑。</w:t>
      </w:r>
    </w:p>
    <w:p>
      <w:pPr>
        <w:pStyle w:val="8"/>
      </w:pPr>
    </w:p>
    <w:bookmarkEnd w:id="4"/>
    <w:bookmarkEnd w:id="5"/>
    <w:bookmarkEnd w:id="6"/>
    <w:p>
      <w:pPr>
        <w:pStyle w:val="3"/>
        <w:spacing w:before="0" w:after="0" w:line="360" w:lineRule="auto"/>
        <w:rPr>
          <w:rFonts w:ascii="Times" w:hAnsi="Times" w:eastAsia="宋体" w:cs="Times New Roman"/>
          <w:sz w:val="28"/>
          <w:szCs w:val="28"/>
        </w:rPr>
      </w:pPr>
      <w:bookmarkStart w:id="22" w:name="_Toc68880895"/>
      <w:bookmarkStart w:id="23" w:name="_Toc42678139"/>
      <w:bookmarkStart w:id="24" w:name="_Toc19624"/>
      <w:bookmarkStart w:id="25" w:name="_Toc286242452"/>
      <w:bookmarkStart w:id="26" w:name="_Toc309809662"/>
      <w:bookmarkStart w:id="27" w:name="_Toc309895180"/>
      <w:bookmarkStart w:id="28" w:name="_Toc285713917"/>
      <w:bookmarkStart w:id="29" w:name="_Toc309910711"/>
      <w:bookmarkStart w:id="30" w:name="_Toc309915944"/>
      <w:bookmarkStart w:id="31" w:name="_Toc310070363"/>
      <w:bookmarkStart w:id="32" w:name="_Toc286242021"/>
      <w:bookmarkStart w:id="33" w:name="_Toc309810523"/>
      <w:bookmarkStart w:id="34" w:name="_Toc309893700"/>
      <w:bookmarkStart w:id="35" w:name="_Toc310354284"/>
      <w:r>
        <w:rPr>
          <w:rFonts w:hint="eastAsia" w:ascii="Times" w:hAnsi="Times" w:eastAsia="宋体" w:cs="Times New Roman"/>
          <w:sz w:val="28"/>
          <w:szCs w:val="28"/>
        </w:rPr>
        <w:t>3编制原则</w:t>
      </w:r>
      <w:bookmarkEnd w:id="22"/>
      <w:bookmarkEnd w:id="23"/>
      <w:bookmarkStart w:id="36" w:name="_Toc534977624"/>
      <w:bookmarkEnd w:id="36"/>
      <w:bookmarkStart w:id="37" w:name="_Toc8758905"/>
      <w:bookmarkEnd w:id="37"/>
      <w:bookmarkStart w:id="38" w:name="_Toc534977657"/>
      <w:bookmarkEnd w:id="38"/>
      <w:bookmarkStart w:id="39" w:name="_Toc14119950"/>
      <w:bookmarkEnd w:id="39"/>
      <w:bookmarkStart w:id="40" w:name="_Toc534977388"/>
      <w:bookmarkEnd w:id="40"/>
      <w:r>
        <w:rPr>
          <w:rFonts w:hint="eastAsia" w:ascii="Times" w:hAnsi="Times" w:eastAsia="宋体" w:cs="Times New Roman"/>
          <w:sz w:val="28"/>
          <w:szCs w:val="28"/>
        </w:rPr>
        <w:t>和方法</w:t>
      </w:r>
      <w:bookmarkEnd w:id="24"/>
    </w:p>
    <w:p>
      <w:pPr>
        <w:pStyle w:val="6"/>
        <w:spacing w:before="156" w:beforeLines="50" w:after="0" w:line="360" w:lineRule="auto"/>
        <w:contextualSpacing/>
        <w:outlineLvl w:val="1"/>
        <w:rPr>
          <w:sz w:val="24"/>
          <w:szCs w:val="24"/>
        </w:rPr>
      </w:pPr>
      <w:bookmarkStart w:id="41" w:name="_Toc27695169"/>
      <w:bookmarkStart w:id="42" w:name="_Toc32665"/>
      <w:bookmarkStart w:id="43" w:name="_Toc66114227"/>
      <w:bookmarkStart w:id="44" w:name="_Toc2669"/>
      <w:bookmarkStart w:id="45" w:name="_Toc42678140"/>
      <w:bookmarkStart w:id="46" w:name="_Toc68880896"/>
      <w:r>
        <w:rPr>
          <w:sz w:val="24"/>
          <w:szCs w:val="24"/>
        </w:rPr>
        <w:t>3.1编制原则</w:t>
      </w:r>
      <w:bookmarkEnd w:id="41"/>
      <w:bookmarkEnd w:id="42"/>
      <w:bookmarkEnd w:id="43"/>
      <w:bookmarkEnd w:id="44"/>
    </w:p>
    <w:p>
      <w:pPr>
        <w:widowControl/>
        <w:adjustRightInd w:val="0"/>
        <w:spacing w:line="360" w:lineRule="auto"/>
        <w:ind w:firstLine="424" w:firstLineChars="177"/>
        <w:contextualSpacing/>
        <w:rPr>
          <w:sz w:val="24"/>
        </w:rPr>
      </w:pPr>
      <w:r>
        <w:rPr>
          <w:sz w:val="24"/>
        </w:rPr>
        <w:t>本文件遵循“科学、合理、易操作”的原则</w:t>
      </w:r>
      <w:r>
        <w:rPr>
          <w:rFonts w:hint="eastAsia"/>
          <w:sz w:val="24"/>
        </w:rPr>
        <w:t>，以《节水型企业评价导则》（</w:t>
      </w:r>
      <w:r>
        <w:rPr>
          <w:sz w:val="24"/>
        </w:rPr>
        <w:t>GB/T</w:t>
      </w:r>
      <w:r>
        <w:rPr>
          <w:rFonts w:hint="eastAsia"/>
          <w:sz w:val="24"/>
        </w:rPr>
        <w:t xml:space="preserve"> 7119）为依据</w:t>
      </w:r>
      <w:r>
        <w:rPr>
          <w:sz w:val="24"/>
        </w:rPr>
        <w:t>进行编制。</w:t>
      </w:r>
      <w:bookmarkEnd w:id="45"/>
      <w:bookmarkEnd w:id="46"/>
      <w:r>
        <w:rPr>
          <w:rFonts w:hint="eastAsia"/>
          <w:sz w:val="24"/>
        </w:rPr>
        <w:t>在参考现有标准和企业提供数据资料基础上制定标准指标，以达到引导行业水效水平不断提升的目的。本文件依据现行的产业政策及节能减排政策，并充分考虑了国内各类不同水平的生产企业管理经验、技术水平以及行业未来绿色发展趋势。文件中产品分类和指标值的选取考虑了毛纺织行业产品特点和调研企业的代表性等因素，使编制的技术规范具有可操作性。</w:t>
      </w:r>
    </w:p>
    <w:p>
      <w:pPr>
        <w:widowControl/>
        <w:adjustRightInd w:val="0"/>
        <w:spacing w:line="360" w:lineRule="auto"/>
        <w:ind w:firstLine="424" w:firstLineChars="177"/>
        <w:contextualSpacing/>
        <w:rPr>
          <w:sz w:val="24"/>
        </w:rPr>
      </w:pPr>
      <w:r>
        <w:rPr>
          <w:rFonts w:hint="eastAsia"/>
          <w:sz w:val="24"/>
        </w:rPr>
        <w:t>在标准制定过程中遵循了以下几个原则：</w:t>
      </w:r>
    </w:p>
    <w:p>
      <w:pPr>
        <w:widowControl/>
        <w:adjustRightInd w:val="0"/>
        <w:spacing w:line="360" w:lineRule="auto"/>
        <w:ind w:firstLine="424" w:firstLineChars="177"/>
        <w:contextualSpacing/>
        <w:rPr>
          <w:sz w:val="24"/>
        </w:rPr>
      </w:pPr>
      <w:r>
        <w:rPr>
          <w:rFonts w:hint="eastAsia"/>
          <w:sz w:val="24"/>
        </w:rPr>
        <w:t>——规范性，编制要求符合GB/T 1.1-2020的规定；</w:t>
      </w:r>
    </w:p>
    <w:p>
      <w:pPr>
        <w:widowControl/>
        <w:adjustRightInd w:val="0"/>
        <w:spacing w:line="360" w:lineRule="auto"/>
        <w:ind w:firstLine="424" w:firstLineChars="177"/>
        <w:contextualSpacing/>
        <w:rPr>
          <w:sz w:val="24"/>
        </w:rPr>
      </w:pPr>
      <w:r>
        <w:rPr>
          <w:rFonts w:hint="eastAsia"/>
          <w:sz w:val="24"/>
        </w:rPr>
        <w:t>——协调性，与其他清洁生产、行业规范条件等标准协调统一，充分考虑生产企业实际情况，保证80%左右现有企业能达到定额要求；</w:t>
      </w:r>
    </w:p>
    <w:p>
      <w:pPr>
        <w:widowControl/>
        <w:adjustRightInd w:val="0"/>
        <w:spacing w:line="360" w:lineRule="auto"/>
        <w:ind w:firstLine="424" w:firstLineChars="177"/>
        <w:contextualSpacing/>
        <w:rPr>
          <w:sz w:val="24"/>
        </w:rPr>
      </w:pPr>
      <w:r>
        <w:rPr>
          <w:rFonts w:hint="eastAsia"/>
          <w:sz w:val="24"/>
        </w:rPr>
        <w:t>——先进性，充分考虑行业发展趋势和绿色需求，保证先进值具有引导性；</w:t>
      </w:r>
    </w:p>
    <w:p>
      <w:pPr>
        <w:widowControl/>
        <w:adjustRightInd w:val="0"/>
        <w:spacing w:line="360" w:lineRule="auto"/>
        <w:ind w:firstLine="424" w:firstLineChars="177"/>
        <w:contextualSpacing/>
        <w:rPr>
          <w:sz w:val="24"/>
        </w:rPr>
      </w:pPr>
      <w:r>
        <w:rPr>
          <w:rFonts w:hint="eastAsia"/>
          <w:sz w:val="24"/>
        </w:rPr>
        <w:t>——实用性，保证指标设定的合理性，以及指标计算方法的科学性和明确性，便于生产企业对标工作简单、可操作。</w:t>
      </w:r>
    </w:p>
    <w:p>
      <w:pPr>
        <w:pStyle w:val="6"/>
        <w:spacing w:before="156" w:beforeLines="50" w:after="0" w:line="360" w:lineRule="auto"/>
        <w:contextualSpacing/>
        <w:outlineLvl w:val="1"/>
        <w:rPr>
          <w:sz w:val="24"/>
          <w:szCs w:val="24"/>
        </w:rPr>
      </w:pPr>
      <w:bookmarkStart w:id="47" w:name="_Toc68880897"/>
      <w:bookmarkStart w:id="48" w:name="_Toc42678141"/>
      <w:bookmarkStart w:id="49" w:name="_Toc507614768"/>
      <w:bookmarkStart w:id="50" w:name="_Toc31973"/>
      <w:r>
        <w:rPr>
          <w:sz w:val="24"/>
          <w:szCs w:val="24"/>
        </w:rPr>
        <w:t>3</w:t>
      </w:r>
      <w:r>
        <w:rPr>
          <w:rFonts w:hint="eastAsia"/>
          <w:sz w:val="24"/>
          <w:szCs w:val="24"/>
        </w:rPr>
        <w:t>.2 编制方法</w:t>
      </w:r>
      <w:bookmarkEnd w:id="47"/>
      <w:bookmarkEnd w:id="48"/>
      <w:bookmarkEnd w:id="49"/>
      <w:bookmarkEnd w:id="50"/>
    </w:p>
    <w:p>
      <w:pPr>
        <w:widowControl/>
        <w:adjustRightInd w:val="0"/>
        <w:spacing w:line="360" w:lineRule="auto"/>
        <w:ind w:firstLine="424" w:firstLineChars="177"/>
        <w:contextualSpacing/>
        <w:rPr>
          <w:sz w:val="24"/>
        </w:rPr>
      </w:pPr>
      <w:r>
        <w:rPr>
          <w:sz w:val="24"/>
        </w:rPr>
        <w:t>（1）资料收集法</w:t>
      </w:r>
    </w:p>
    <w:p>
      <w:pPr>
        <w:widowControl/>
        <w:adjustRightInd w:val="0"/>
        <w:spacing w:line="360" w:lineRule="auto"/>
        <w:ind w:firstLine="424" w:firstLineChars="177"/>
        <w:contextualSpacing/>
        <w:rPr>
          <w:sz w:val="24"/>
        </w:rPr>
      </w:pPr>
      <w:r>
        <w:rPr>
          <w:sz w:val="24"/>
        </w:rPr>
        <w:t>在本文件编制过程中，项目组先后收集有关标准文件及资料，如下：《GB/T 12452 水平衡测试通则》《GB/T 21534 节约用水 术语》《GB/T 24789 用水单位水计量器具配备和管理通则》等作为本文件编制基本要求的参考。</w:t>
      </w:r>
    </w:p>
    <w:p>
      <w:pPr>
        <w:widowControl/>
        <w:adjustRightInd w:val="0"/>
        <w:spacing w:line="360" w:lineRule="auto"/>
        <w:ind w:firstLine="424" w:firstLineChars="177"/>
        <w:contextualSpacing/>
        <w:rPr>
          <w:sz w:val="24"/>
        </w:rPr>
      </w:pPr>
      <w:r>
        <w:rPr>
          <w:sz w:val="24"/>
        </w:rPr>
        <w:t>（2）标准框架法</w:t>
      </w:r>
    </w:p>
    <w:p>
      <w:pPr>
        <w:widowControl/>
        <w:adjustRightInd w:val="0"/>
        <w:spacing w:line="360" w:lineRule="auto"/>
        <w:ind w:firstLine="424" w:firstLineChars="177"/>
        <w:contextualSpacing/>
        <w:rPr>
          <w:sz w:val="24"/>
        </w:rPr>
      </w:pPr>
      <w:r>
        <w:rPr>
          <w:sz w:val="24"/>
        </w:rPr>
        <w:t>根据《标准化工作导则 第1部分：标准化文件的结构和起草规则》（GB/T 1.1-2020）的编制要求，确定本技术规范框架。</w:t>
      </w:r>
    </w:p>
    <w:p>
      <w:pPr>
        <w:widowControl/>
        <w:adjustRightInd w:val="0"/>
        <w:spacing w:line="360" w:lineRule="auto"/>
        <w:ind w:firstLine="424" w:firstLineChars="177"/>
        <w:contextualSpacing/>
        <w:rPr>
          <w:sz w:val="24"/>
        </w:rPr>
      </w:pPr>
      <w:r>
        <w:rPr>
          <w:sz w:val="24"/>
        </w:rPr>
        <w:t>（3）调查调研法</w:t>
      </w:r>
    </w:p>
    <w:p>
      <w:pPr>
        <w:widowControl/>
        <w:adjustRightInd w:val="0"/>
        <w:spacing w:line="360" w:lineRule="auto"/>
        <w:ind w:firstLine="424" w:firstLineChars="177"/>
        <w:contextualSpacing/>
        <w:rPr>
          <w:sz w:val="24"/>
        </w:rPr>
      </w:pPr>
      <w:r>
        <w:rPr>
          <w:rFonts w:hint="eastAsia"/>
          <w:sz w:val="24"/>
        </w:rPr>
        <w:t>根据毛纺织行业分类，编制组拟选取国内有一定影响力、有一定生产规模的企业进行实地调研和函调，详细了解企业生产管理水平、工艺流程、关键生产技术和装备的技术进步情况以及主要工艺参数和取用水指标水平等，收集第一手数据。受疫情影响，实地调研企业不多，主要采取了函调和会议讨论形式。</w:t>
      </w:r>
    </w:p>
    <w:bookmarkEnd w:id="25"/>
    <w:bookmarkEnd w:id="26"/>
    <w:bookmarkEnd w:id="27"/>
    <w:bookmarkEnd w:id="28"/>
    <w:bookmarkEnd w:id="29"/>
    <w:bookmarkEnd w:id="30"/>
    <w:bookmarkEnd w:id="31"/>
    <w:bookmarkEnd w:id="32"/>
    <w:bookmarkEnd w:id="33"/>
    <w:bookmarkEnd w:id="34"/>
    <w:bookmarkEnd w:id="35"/>
    <w:p>
      <w:pPr>
        <w:pStyle w:val="3"/>
        <w:spacing w:before="0" w:after="0" w:line="360" w:lineRule="auto"/>
        <w:rPr>
          <w:rFonts w:ascii="Times" w:hAnsi="Times" w:eastAsia="宋体" w:cs="Times New Roman"/>
          <w:sz w:val="28"/>
          <w:szCs w:val="28"/>
        </w:rPr>
      </w:pPr>
      <w:bookmarkStart w:id="51" w:name="_Toc4885"/>
      <w:bookmarkStart w:id="52" w:name="_Toc370979873"/>
      <w:bookmarkStart w:id="53" w:name="_Toc286242464"/>
      <w:bookmarkStart w:id="54" w:name="_Toc286242024"/>
      <w:bookmarkStart w:id="55" w:name="OLE_LINK11"/>
      <w:bookmarkStart w:id="56" w:name="_Toc286242033"/>
      <w:bookmarkStart w:id="57" w:name="_Toc286242455"/>
      <w:r>
        <w:rPr>
          <w:rFonts w:hint="eastAsia" w:ascii="Times" w:hAnsi="Times" w:eastAsia="宋体" w:cs="Times New Roman"/>
          <w:sz w:val="28"/>
          <w:szCs w:val="28"/>
        </w:rPr>
        <w:t>4</w:t>
      </w:r>
      <w:r>
        <w:rPr>
          <w:rFonts w:ascii="Times" w:hAnsi="Times" w:eastAsia="宋体" w:cs="Times New Roman"/>
          <w:sz w:val="28"/>
          <w:szCs w:val="28"/>
        </w:rPr>
        <w:t xml:space="preserve"> </w:t>
      </w:r>
      <w:r>
        <w:rPr>
          <w:rFonts w:hint="eastAsia" w:ascii="Times" w:hAnsi="Times" w:eastAsia="宋体" w:cs="Times New Roman"/>
          <w:sz w:val="28"/>
          <w:szCs w:val="28"/>
        </w:rPr>
        <w:t>标准主要内容</w:t>
      </w:r>
      <w:bookmarkEnd w:id="51"/>
    </w:p>
    <w:p>
      <w:pPr>
        <w:pStyle w:val="6"/>
        <w:spacing w:before="156" w:beforeLines="50" w:after="0" w:line="360" w:lineRule="auto"/>
        <w:contextualSpacing/>
        <w:outlineLvl w:val="1"/>
        <w:rPr>
          <w:kern w:val="0"/>
          <w:sz w:val="24"/>
          <w:szCs w:val="24"/>
        </w:rPr>
      </w:pPr>
      <w:bookmarkStart w:id="58" w:name="_Toc29929"/>
      <w:r>
        <w:rPr>
          <w:sz w:val="24"/>
          <w:szCs w:val="24"/>
        </w:rPr>
        <w:t>4.1</w:t>
      </w:r>
      <w:r>
        <w:rPr>
          <w:rFonts w:ascii="宋体" w:hAnsi="宋体"/>
          <w:sz w:val="24"/>
          <w:szCs w:val="24"/>
        </w:rPr>
        <w:t>标准名称</w:t>
      </w:r>
      <w:bookmarkEnd w:id="58"/>
    </w:p>
    <w:p>
      <w:pPr>
        <w:autoSpaceDE w:val="0"/>
        <w:spacing w:line="360" w:lineRule="auto"/>
        <w:ind w:firstLine="424" w:firstLineChars="177"/>
        <w:contextualSpacing/>
        <w:rPr>
          <w:sz w:val="24"/>
        </w:rPr>
      </w:pPr>
      <w:r>
        <w:rPr>
          <w:rFonts w:hint="eastAsia" w:ascii="宋体" w:hAnsi="宋体"/>
          <w:sz w:val="24"/>
        </w:rPr>
        <w:t>节水型企业 毛纺织行业</w:t>
      </w:r>
    </w:p>
    <w:p>
      <w:pPr>
        <w:pStyle w:val="6"/>
        <w:spacing w:before="156" w:beforeLines="50" w:after="0" w:line="360" w:lineRule="auto"/>
        <w:contextualSpacing/>
        <w:outlineLvl w:val="1"/>
        <w:rPr>
          <w:kern w:val="0"/>
          <w:sz w:val="24"/>
          <w:szCs w:val="24"/>
        </w:rPr>
      </w:pPr>
      <w:bookmarkStart w:id="59" w:name="_Toc23218"/>
      <w:r>
        <w:rPr>
          <w:sz w:val="24"/>
          <w:szCs w:val="24"/>
        </w:rPr>
        <w:t>4.2</w:t>
      </w:r>
      <w:r>
        <w:rPr>
          <w:rFonts w:ascii="宋体" w:hAnsi="宋体"/>
          <w:sz w:val="24"/>
          <w:szCs w:val="24"/>
        </w:rPr>
        <w:t>适用范围</w:t>
      </w:r>
      <w:bookmarkEnd w:id="59"/>
    </w:p>
    <w:p>
      <w:pPr>
        <w:autoSpaceDE w:val="0"/>
        <w:spacing w:line="360" w:lineRule="auto"/>
        <w:ind w:firstLine="424" w:firstLineChars="177"/>
        <w:contextualSpacing/>
        <w:rPr>
          <w:rFonts w:ascii="宋体" w:hAnsi="宋体"/>
          <w:sz w:val="24"/>
        </w:rPr>
      </w:pPr>
      <w:r>
        <w:rPr>
          <w:rFonts w:hint="eastAsia" w:ascii="宋体" w:hAnsi="宋体"/>
          <w:sz w:val="24"/>
        </w:rPr>
        <w:t>本文件规定了毛纺织行业节水型企业评价的相关术语和定义、评价指标体系及要求。</w:t>
      </w:r>
    </w:p>
    <w:p>
      <w:pPr>
        <w:autoSpaceDE w:val="0"/>
        <w:spacing w:line="360" w:lineRule="auto"/>
        <w:ind w:firstLine="424" w:firstLineChars="177"/>
        <w:contextualSpacing/>
      </w:pPr>
      <w:r>
        <w:rPr>
          <w:rFonts w:hint="eastAsia" w:ascii="宋体" w:hAnsi="宋体"/>
          <w:sz w:val="24"/>
        </w:rPr>
        <w:t>本文件适用于毛纺织行业节水型企业的评价工作。</w:t>
      </w:r>
    </w:p>
    <w:p>
      <w:pPr>
        <w:pStyle w:val="6"/>
        <w:spacing w:before="156" w:beforeLines="50" w:after="0" w:line="360" w:lineRule="auto"/>
        <w:contextualSpacing/>
        <w:outlineLvl w:val="1"/>
        <w:rPr>
          <w:sz w:val="24"/>
          <w:szCs w:val="24"/>
        </w:rPr>
      </w:pPr>
      <w:bookmarkStart w:id="60" w:name="_Toc24118"/>
      <w:r>
        <w:rPr>
          <w:rFonts w:hint="eastAsia"/>
          <w:sz w:val="24"/>
          <w:szCs w:val="24"/>
        </w:rPr>
        <w:t>4</w:t>
      </w:r>
      <w:r>
        <w:rPr>
          <w:sz w:val="24"/>
          <w:szCs w:val="24"/>
        </w:rPr>
        <w:t>.</w:t>
      </w:r>
      <w:r>
        <w:rPr>
          <w:rFonts w:hint="eastAsia"/>
          <w:sz w:val="24"/>
          <w:szCs w:val="24"/>
        </w:rPr>
        <w:t>3</w:t>
      </w:r>
      <w:r>
        <w:rPr>
          <w:rFonts w:ascii="宋体" w:hAnsi="宋体"/>
          <w:sz w:val="24"/>
          <w:szCs w:val="24"/>
        </w:rPr>
        <w:t>文本框架</w:t>
      </w:r>
      <w:bookmarkEnd w:id="60"/>
    </w:p>
    <w:p>
      <w:pPr>
        <w:autoSpaceDE w:val="0"/>
        <w:spacing w:line="360" w:lineRule="auto"/>
        <w:ind w:firstLine="480" w:firstLineChars="200"/>
        <w:contextualSpacing/>
        <w:rPr>
          <w:rFonts w:ascii="宋体" w:hAnsi="宋体"/>
          <w:sz w:val="24"/>
        </w:rPr>
      </w:pPr>
      <w:r>
        <w:rPr>
          <w:rFonts w:ascii="宋体" w:hAnsi="宋体"/>
          <w:sz w:val="24"/>
        </w:rPr>
        <w:t>本标准正文主要包括七部分内容，分别为：范围，规范性引用文件，术语和定义，</w:t>
      </w:r>
      <w:r>
        <w:rPr>
          <w:rFonts w:hint="eastAsia" w:ascii="宋体" w:hAnsi="宋体"/>
          <w:sz w:val="24"/>
        </w:rPr>
        <w:t>评价指标体系及要求</w:t>
      </w:r>
      <w:r>
        <w:rPr>
          <w:rFonts w:ascii="宋体" w:hAnsi="宋体"/>
          <w:sz w:val="24"/>
        </w:rPr>
        <w:t>，附录</w:t>
      </w:r>
      <w:r>
        <w:rPr>
          <w:sz w:val="24"/>
        </w:rPr>
        <w:t>A</w:t>
      </w:r>
      <w:r>
        <w:rPr>
          <w:rFonts w:hint="eastAsia"/>
          <w:sz w:val="24"/>
        </w:rPr>
        <w:t>（规范性）</w:t>
      </w:r>
      <w:r>
        <w:rPr>
          <w:rFonts w:hint="eastAsia" w:ascii="宋体" w:hAnsi="宋体"/>
          <w:sz w:val="24"/>
        </w:rPr>
        <w:t>节水型企业管理指标评分方法</w:t>
      </w:r>
      <w:r>
        <w:rPr>
          <w:rFonts w:ascii="宋体" w:hAnsi="宋体"/>
          <w:sz w:val="24"/>
        </w:rPr>
        <w:t>，附录</w:t>
      </w:r>
      <w:r>
        <w:rPr>
          <w:sz w:val="24"/>
        </w:rPr>
        <w:t>B</w:t>
      </w:r>
      <w:r>
        <w:rPr>
          <w:rFonts w:hint="eastAsia"/>
          <w:sz w:val="24"/>
        </w:rPr>
        <w:t>（规范性）</w:t>
      </w:r>
      <w:r>
        <w:rPr>
          <w:rFonts w:hint="eastAsia" w:ascii="宋体" w:hAnsi="宋体"/>
          <w:sz w:val="24"/>
        </w:rPr>
        <w:t>节水型企业技术指标的计算方法，附录C（规范性）节水型企业评价程序</w:t>
      </w:r>
      <w:r>
        <w:rPr>
          <w:rFonts w:ascii="宋体" w:hAnsi="宋体"/>
          <w:sz w:val="24"/>
        </w:rPr>
        <w:t>。</w:t>
      </w:r>
    </w:p>
    <w:p>
      <w:pPr>
        <w:pStyle w:val="6"/>
        <w:spacing w:before="156" w:beforeLines="50" w:after="0" w:line="360" w:lineRule="auto"/>
        <w:contextualSpacing/>
        <w:outlineLvl w:val="1"/>
        <w:rPr>
          <w:sz w:val="24"/>
          <w:szCs w:val="24"/>
        </w:rPr>
      </w:pPr>
      <w:bookmarkStart w:id="61" w:name="_Toc28928"/>
      <w:r>
        <w:rPr>
          <w:rFonts w:hint="eastAsia"/>
          <w:sz w:val="24"/>
          <w:szCs w:val="24"/>
        </w:rPr>
        <w:t>4</w:t>
      </w:r>
      <w:r>
        <w:rPr>
          <w:sz w:val="24"/>
          <w:szCs w:val="24"/>
        </w:rPr>
        <w:t>.4 评价指标的确定及制定依据</w:t>
      </w:r>
      <w:bookmarkEnd w:id="61"/>
    </w:p>
    <w:p>
      <w:pPr>
        <w:adjustRightInd w:val="0"/>
        <w:snapToGrid w:val="0"/>
        <w:spacing w:line="360" w:lineRule="auto"/>
        <w:ind w:firstLine="420" w:firstLineChars="200"/>
      </w:pPr>
      <w:r>
        <w:rPr>
          <w:rFonts w:hint="eastAsia" w:ascii="宋体" w:hAnsi="宋体"/>
        </w:rPr>
        <w:t>毛纺织行业节水型企业评价指标体系</w:t>
      </w:r>
      <w:r>
        <w:rPr>
          <w:rFonts w:ascii="宋体" w:hAnsi="宋体"/>
        </w:rPr>
        <w:t>包括</w:t>
      </w:r>
      <w:r>
        <w:rPr>
          <w:rFonts w:hint="eastAsia" w:ascii="宋体" w:hAnsi="宋体"/>
        </w:rPr>
        <w:t>基本要求、管理指标</w:t>
      </w:r>
      <w:r>
        <w:rPr>
          <w:rFonts w:ascii="宋体" w:hAnsi="宋体"/>
        </w:rPr>
        <w:t>、</w:t>
      </w:r>
      <w:r>
        <w:rPr>
          <w:rFonts w:hint="eastAsia" w:ascii="宋体" w:hAnsi="宋体"/>
        </w:rPr>
        <w:t>技术</w:t>
      </w:r>
      <w:r>
        <w:rPr>
          <w:rFonts w:ascii="宋体" w:hAnsi="宋体"/>
        </w:rPr>
        <w:t>指标</w:t>
      </w:r>
      <w:r>
        <w:rPr>
          <w:rFonts w:hint="eastAsia" w:ascii="宋体" w:hAnsi="宋体"/>
        </w:rPr>
        <w:t>和鼓励性</w:t>
      </w:r>
      <w:r>
        <w:rPr>
          <w:rFonts w:ascii="宋体" w:hAnsi="宋体"/>
        </w:rPr>
        <w:t>指标。</w:t>
      </w:r>
      <w:r>
        <w:rPr>
          <w:rFonts w:hint="eastAsia" w:ascii="宋体" w:hAnsi="宋体"/>
        </w:rPr>
        <w:t>不同指标下设详细评分细则</w:t>
      </w:r>
      <w:r>
        <w:rPr>
          <w:rFonts w:ascii="宋体" w:hAnsi="宋体"/>
        </w:rPr>
        <w:t>。</w:t>
      </w:r>
    </w:p>
    <w:p>
      <w:pPr>
        <w:adjustRightInd w:val="0"/>
        <w:snapToGrid w:val="0"/>
        <w:spacing w:line="360" w:lineRule="auto"/>
        <w:outlineLvl w:val="2"/>
        <w:rPr>
          <w:b/>
          <w:bCs/>
        </w:rPr>
      </w:pPr>
      <w:r>
        <w:rPr>
          <w:rFonts w:hint="eastAsia"/>
          <w:b/>
          <w:bCs/>
        </w:rPr>
        <w:t>4</w:t>
      </w:r>
      <w:r>
        <w:rPr>
          <w:b/>
          <w:bCs/>
        </w:rPr>
        <w:t>.4.1</w:t>
      </w:r>
      <w:r>
        <w:rPr>
          <w:rFonts w:hint="eastAsia" w:ascii="宋体" w:hAnsi="宋体"/>
          <w:b/>
          <w:bCs/>
        </w:rPr>
        <w:t>基本要求</w:t>
      </w:r>
      <w:r>
        <w:rPr>
          <w:rFonts w:ascii="宋体" w:hAnsi="宋体"/>
          <w:b/>
          <w:bCs/>
        </w:rPr>
        <w:t>的确定</w:t>
      </w:r>
    </w:p>
    <w:p>
      <w:pPr>
        <w:adjustRightInd w:val="0"/>
        <w:snapToGrid w:val="0"/>
        <w:spacing w:line="360" w:lineRule="auto"/>
        <w:ind w:firstLine="420" w:firstLineChars="200"/>
        <w:rPr>
          <w:rFonts w:ascii="宋体" w:hAnsi="宋体"/>
        </w:rPr>
      </w:pPr>
      <w:r>
        <w:rPr>
          <w:rFonts w:hint="eastAsia"/>
        </w:rPr>
        <w:t>参照《节水型企业评价导则》（G</w:t>
      </w:r>
      <w:r>
        <w:t>B/T 7119-2018</w:t>
      </w:r>
      <w:r>
        <w:rPr>
          <w:rFonts w:hint="eastAsia"/>
        </w:rPr>
        <w:t>）中的基本要求，以下1</w:t>
      </w:r>
      <w:r>
        <w:t>0</w:t>
      </w:r>
      <w:r>
        <w:rPr>
          <w:rFonts w:hint="eastAsia"/>
        </w:rPr>
        <w:t>条均为必须满足条件，</w:t>
      </w:r>
      <w:r>
        <w:rPr>
          <w:rFonts w:hint="eastAsia" w:ascii="宋体" w:hAnsi="宋体"/>
        </w:rPr>
        <w:t>如有任何一条不符合要求，则不具备节水型企业申报条件：</w:t>
      </w:r>
    </w:p>
    <w:tbl>
      <w:tblPr>
        <w:tblStyle w:val="2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16"/>
        <w:gridCol w:w="6484"/>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序号</w:t>
            </w:r>
          </w:p>
        </w:tc>
        <w:tc>
          <w:tcPr>
            <w:tcW w:w="648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项目</w:t>
            </w:r>
          </w:p>
        </w:tc>
        <w:tc>
          <w:tcPr>
            <w:tcW w:w="109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评价要求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1</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生活用水和生产用水分别计量付费</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2</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自制蒸汽单位应将蒸汽锅炉蒸汽冷凝水回收至锅炉水补水；外购蒸汽单位应当充分利用蒸汽冷凝水，严禁直接排放</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3</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工艺用水及直接冷却水不直排，应回用或重复利用</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4</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水计量器具的配备与管理符合GB/T 24789的要求（并附水计量器具规格型号清单）</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5</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近三年或五年内开展过水平衡测试或用水审计（水平衡测试报告书或用水审计报告应通过主管部门的专家评审文件或能够证明其效力的文件）</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6</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企业废水排放符合要求（并附地方环保证明或地方排污许可证）</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7</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不使用国家明令淘汰的用水设备和器具</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8</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取用水手续齐全（并附批件复印件）</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9</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近三年无超计划超定额用水（并附地方节水办证明）</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10</w:t>
            </w:r>
          </w:p>
        </w:tc>
        <w:tc>
          <w:tcPr>
            <w:tcW w:w="648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新建、改建和扩建项目时，节水设施应与主体工程同时设计、同时施工、同时投入运行，做到用水计划到位、节水目标到位、管水制度到位、节水措施到位（简称节水“三同时、四到位”制度）</w:t>
            </w:r>
          </w:p>
        </w:tc>
        <w:tc>
          <w:tcPr>
            <w:tcW w:w="109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sz w:val="18"/>
                <w:szCs w:val="18"/>
              </w:rPr>
              <w:t>一票否决</w:t>
            </w:r>
          </w:p>
        </w:tc>
      </w:tr>
    </w:tbl>
    <w:p>
      <w:pPr>
        <w:adjustRightInd w:val="0"/>
        <w:snapToGrid w:val="0"/>
        <w:spacing w:line="360" w:lineRule="auto"/>
        <w:ind w:firstLine="420" w:firstLineChars="200"/>
      </w:pPr>
    </w:p>
    <w:p>
      <w:pPr>
        <w:adjustRightInd w:val="0"/>
        <w:snapToGrid w:val="0"/>
        <w:spacing w:line="360" w:lineRule="auto"/>
        <w:ind w:firstLine="420" w:firstLineChars="200"/>
        <w:rPr>
          <w:rFonts w:hint="eastAsia" w:ascii="宋体" w:hAnsi="宋体"/>
        </w:rPr>
      </w:pPr>
      <w:r>
        <w:rPr>
          <w:rFonts w:hint="eastAsia" w:ascii="宋体" w:hAnsi="宋体"/>
        </w:rPr>
        <w:t>序号</w:t>
      </w:r>
      <w:r>
        <w:rPr>
          <w:rFonts w:ascii="宋体" w:hAnsi="宋体"/>
        </w:rPr>
        <w:t>1</w:t>
      </w:r>
      <w:r>
        <w:rPr>
          <w:rFonts w:hint="eastAsia" w:ascii="宋体" w:hAnsi="宋体"/>
        </w:rPr>
        <w:t>、序号6、序号8、序号9，要求用水户取排水行为规范，依法获得取水许可、排污许可等手续。按照《中华人民共和国水法》规定，企业应当向有取水限额管理权的水行政主管部门申请领取取水许可证，并缴纳水资源费，取得取水权、排污许可权。企业内生活用水和生产用水分别计量，按不同水价分别缴纳水费。</w:t>
      </w:r>
    </w:p>
    <w:p>
      <w:pPr>
        <w:adjustRightInd w:val="0"/>
        <w:snapToGrid w:val="0"/>
        <w:spacing w:line="360" w:lineRule="auto"/>
        <w:ind w:firstLine="420" w:firstLineChars="200"/>
        <w:rPr>
          <w:rFonts w:ascii="宋体" w:hAnsi="宋体"/>
        </w:rPr>
      </w:pPr>
      <w:r>
        <w:rPr>
          <w:rFonts w:hint="eastAsia" w:ascii="宋体" w:hAnsi="宋体"/>
        </w:rPr>
        <w:t>序号2、序号3、序号4，根据节水减污要求，蒸汽冷凝水应充分收集再利用，不得直接排放。工艺用水、直接冷却水不直排，尽量串联利用，或经处理再利用。水计量器具配备和管理符合G</w:t>
      </w:r>
      <w:r>
        <w:rPr>
          <w:rFonts w:ascii="宋体" w:hAnsi="宋体"/>
        </w:rPr>
        <w:t>B/T 24789</w:t>
      </w:r>
      <w:r>
        <w:rPr>
          <w:rFonts w:hint="eastAsia" w:ascii="宋体" w:hAnsi="宋体"/>
        </w:rPr>
        <w:t>的要求。</w:t>
      </w:r>
    </w:p>
    <w:p>
      <w:pPr>
        <w:adjustRightInd w:val="0"/>
        <w:snapToGrid w:val="0"/>
        <w:spacing w:line="360" w:lineRule="auto"/>
        <w:ind w:firstLine="420" w:firstLineChars="200"/>
        <w:rPr>
          <w:rFonts w:ascii="宋体" w:hAnsi="宋体"/>
        </w:rPr>
      </w:pPr>
      <w:r>
        <w:rPr>
          <w:rFonts w:hint="eastAsia" w:ascii="宋体" w:hAnsi="宋体"/>
        </w:rPr>
        <w:t>序号5是对水平衡测试的要求，根据《企业水平衡测试通则》（GB/T 12452），要求用水单位水计量器具的配备率达到1</w:t>
      </w:r>
      <w:r>
        <w:rPr>
          <w:rFonts w:ascii="宋体" w:hAnsi="宋体"/>
        </w:rPr>
        <w:t>00%</w:t>
      </w:r>
      <w:r>
        <w:rPr>
          <w:rFonts w:hint="eastAsia" w:ascii="宋体" w:hAnsi="宋体"/>
        </w:rPr>
        <w:t>，次级用水单位水计量器具的配备率达到9</w:t>
      </w:r>
      <w:r>
        <w:rPr>
          <w:rFonts w:ascii="宋体" w:hAnsi="宋体"/>
        </w:rPr>
        <w:t>5%</w:t>
      </w:r>
      <w:r>
        <w:rPr>
          <w:rFonts w:hint="eastAsia" w:ascii="宋体" w:hAnsi="宋体"/>
        </w:rPr>
        <w:t>，主要用水设备（用水系统）水计量器具的配备率达到8</w:t>
      </w:r>
      <w:r>
        <w:rPr>
          <w:rFonts w:ascii="宋体" w:hAnsi="宋体"/>
        </w:rPr>
        <w:t>5%</w:t>
      </w:r>
      <w:r>
        <w:rPr>
          <w:rFonts w:hint="eastAsia" w:ascii="宋体" w:hAnsi="宋体"/>
        </w:rPr>
        <w:t>。</w:t>
      </w:r>
    </w:p>
    <w:p>
      <w:pPr>
        <w:adjustRightInd w:val="0"/>
        <w:snapToGrid w:val="0"/>
        <w:spacing w:line="360" w:lineRule="auto"/>
        <w:ind w:firstLine="420" w:firstLineChars="200"/>
        <w:rPr>
          <w:rFonts w:ascii="宋体" w:hAnsi="宋体"/>
        </w:rPr>
      </w:pPr>
      <w:r>
        <w:rPr>
          <w:rFonts w:hint="eastAsia"/>
        </w:rPr>
        <w:t>序号7是对用水设备和器具的要求。</w:t>
      </w:r>
      <w:r>
        <w:rPr>
          <w:rFonts w:hint="eastAsia" w:ascii="宋体" w:hAnsi="宋体"/>
        </w:rPr>
        <w:t>企业以自我声明的方式进行证明，</w:t>
      </w:r>
      <w:r>
        <w:rPr>
          <w:rFonts w:ascii="宋体" w:hAnsi="宋体"/>
        </w:rPr>
        <w:t>不得使用列入工信部发布的《高能耗落后机电设备（产品）淘汰目录》（第1-4批）中的机电设备和产品，不得生产《环境保护综合目录（2017年版）》中规定的“高污染、高环境风险”产品。鼓励采用先进的节能减排技术、工艺和装备，如：《国家鼓励的工业节水工艺、技术和装备目录》（共三批）中的节水技术、《环境保护综合名录（2017年版）》中环境保护重点设备名录等。</w:t>
      </w:r>
    </w:p>
    <w:p>
      <w:pPr>
        <w:adjustRightInd w:val="0"/>
        <w:snapToGrid w:val="0"/>
        <w:spacing w:line="360" w:lineRule="auto"/>
        <w:ind w:firstLine="420" w:firstLineChars="200"/>
      </w:pPr>
      <w:r>
        <w:rPr>
          <w:rFonts w:hint="eastAsia"/>
        </w:rPr>
        <w:t>序号1</w:t>
      </w:r>
      <w:r>
        <w:t>0</w:t>
      </w:r>
      <w:r>
        <w:rPr>
          <w:rFonts w:hint="eastAsia"/>
        </w:rPr>
        <w:t>是对新建、改建、扩建项目的要求，要实施节水“三同时”、“四到位”制度，以自我声明的方式进行证明。“三同时”指节水设施应当与主体工程同时设计、同时施工、同时投产。“四到位”制度要求园区内的用水企业要做到用水计划到位、节水目标到位、管理制度到位、节水措施到位。</w:t>
      </w:r>
    </w:p>
    <w:p>
      <w:pPr>
        <w:adjustRightInd w:val="0"/>
        <w:snapToGrid w:val="0"/>
        <w:spacing w:line="360" w:lineRule="auto"/>
        <w:outlineLvl w:val="2"/>
        <w:rPr>
          <w:b/>
          <w:bCs/>
        </w:rPr>
      </w:pPr>
      <w:r>
        <w:rPr>
          <w:rFonts w:hint="eastAsia"/>
          <w:b/>
          <w:bCs/>
        </w:rPr>
        <w:t>4</w:t>
      </w:r>
      <w:r>
        <w:rPr>
          <w:b/>
          <w:bCs/>
        </w:rPr>
        <w:t xml:space="preserve">.4.2 </w:t>
      </w:r>
      <w:r>
        <w:rPr>
          <w:rFonts w:hint="eastAsia"/>
          <w:b/>
          <w:bCs/>
        </w:rPr>
        <w:t>管理指标框架的确定</w:t>
      </w:r>
    </w:p>
    <w:p>
      <w:pPr>
        <w:adjustRightInd w:val="0"/>
        <w:snapToGrid w:val="0"/>
        <w:spacing w:line="360" w:lineRule="auto"/>
        <w:ind w:firstLine="420" w:firstLineChars="200"/>
        <w:rPr>
          <w:rFonts w:hint="eastAsia"/>
        </w:rPr>
      </w:pPr>
      <w:r>
        <w:rPr>
          <w:rFonts w:hint="eastAsia"/>
        </w:rPr>
        <w:t>参照《节水型企业评价导则》（G</w:t>
      </w:r>
      <w:r>
        <w:t>B/T 7119-2018</w:t>
      </w:r>
      <w:r>
        <w:rPr>
          <w:rFonts w:hint="eastAsia"/>
        </w:rPr>
        <w:t>）中的节水型企业管理指标及要求（表2），规定了节水管理制度、管理机构、管网（设备）管理、水计量管理、水平衡测试、节水技术改造及投入、节水宣传等</w:t>
      </w:r>
      <w:r>
        <w:t>7</w:t>
      </w:r>
      <w:r>
        <w:rPr>
          <w:rFonts w:hint="eastAsia"/>
        </w:rPr>
        <w:t>个指标，</w:t>
      </w:r>
      <w:r>
        <w:rPr>
          <w:rFonts w:hint="eastAsia" w:ascii="宋体" w:hAnsi="宋体"/>
        </w:rPr>
        <w:t>要求管理指标得分达到4</w:t>
      </w:r>
      <w:r>
        <w:rPr>
          <w:rFonts w:ascii="宋体" w:hAnsi="宋体"/>
        </w:rPr>
        <w:t>8</w:t>
      </w:r>
      <w:r>
        <w:rPr>
          <w:rFonts w:hint="eastAsia" w:ascii="宋体" w:hAnsi="宋体"/>
        </w:rPr>
        <w:t>分（满分6</w:t>
      </w:r>
      <w:r>
        <w:rPr>
          <w:rFonts w:ascii="宋体" w:hAnsi="宋体"/>
        </w:rPr>
        <w:t>0</w:t>
      </w:r>
      <w:r>
        <w:rPr>
          <w:rFonts w:hint="eastAsia" w:ascii="宋体" w:hAnsi="宋体"/>
        </w:rPr>
        <w:t>分），否则不具备节水型企业申报条件。</w:t>
      </w:r>
    </w:p>
    <w:tbl>
      <w:tblPr>
        <w:tblStyle w:val="22"/>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32"/>
        <w:gridCol w:w="1893"/>
        <w:gridCol w:w="56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tcPr>
          <w:p>
            <w:pPr>
              <w:jc w:val="center"/>
              <w:rPr>
                <w:rFonts w:ascii="宋体" w:hAnsi="宋体"/>
                <w:sz w:val="18"/>
                <w:szCs w:val="18"/>
              </w:rPr>
            </w:pPr>
            <w:r>
              <w:rPr>
                <w:rFonts w:hint="eastAsia" w:ascii="宋体" w:hAnsi="宋体"/>
                <w:sz w:val="18"/>
                <w:szCs w:val="18"/>
              </w:rPr>
              <w:t>序号</w:t>
            </w:r>
          </w:p>
        </w:tc>
        <w:tc>
          <w:tcPr>
            <w:tcW w:w="1893" w:type="dxa"/>
            <w:tcBorders>
              <w:top w:val="single" w:color="000000" w:sz="4" w:space="0"/>
              <w:left w:val="single" w:color="000000" w:sz="4" w:space="0"/>
              <w:bottom w:val="single" w:color="000000" w:sz="4" w:space="0"/>
              <w:right w:val="single" w:color="000000" w:sz="4" w:space="0"/>
            </w:tcBorders>
          </w:tcPr>
          <w:p>
            <w:pPr>
              <w:jc w:val="center"/>
              <w:rPr>
                <w:rFonts w:hint="eastAsia" w:ascii="宋体" w:hAnsi="宋体"/>
                <w:sz w:val="18"/>
                <w:szCs w:val="18"/>
              </w:rPr>
            </w:pPr>
            <w:r>
              <w:rPr>
                <w:rFonts w:hint="eastAsia" w:ascii="宋体" w:hAnsi="宋体"/>
                <w:sz w:val="18"/>
                <w:szCs w:val="18"/>
              </w:rPr>
              <w:t>管理指标</w:t>
            </w:r>
          </w:p>
        </w:tc>
        <w:tc>
          <w:tcPr>
            <w:tcW w:w="5664" w:type="dxa"/>
            <w:tcBorders>
              <w:top w:val="single" w:color="000000" w:sz="4" w:space="0"/>
              <w:left w:val="single" w:color="000000" w:sz="4" w:space="0"/>
              <w:bottom w:val="single" w:color="000000" w:sz="4" w:space="0"/>
              <w:right w:val="single" w:color="000000" w:sz="4" w:space="0"/>
            </w:tcBorders>
          </w:tcPr>
          <w:p>
            <w:pPr>
              <w:jc w:val="center"/>
              <w:rPr>
                <w:rFonts w:hint="eastAsia" w:ascii="宋体" w:hAnsi="宋体"/>
                <w:sz w:val="18"/>
                <w:szCs w:val="18"/>
              </w:rPr>
            </w:pPr>
            <w:r>
              <w:rPr>
                <w:rFonts w:hint="eastAsia" w:ascii="宋体" w:hAnsi="宋体"/>
                <w:sz w:val="18"/>
                <w:szCs w:val="18"/>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1</w:t>
            </w:r>
          </w:p>
        </w:tc>
        <w:tc>
          <w:tcPr>
            <w:tcW w:w="18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管理制度</w:t>
            </w:r>
          </w:p>
        </w:tc>
        <w:tc>
          <w:tcPr>
            <w:tcW w:w="5664" w:type="dxa"/>
            <w:tcBorders>
              <w:top w:val="single" w:color="000000" w:sz="4" w:space="0"/>
              <w:left w:val="single" w:color="000000" w:sz="4" w:space="0"/>
              <w:bottom w:val="single" w:color="000000" w:sz="4" w:space="0"/>
              <w:right w:val="single" w:color="000000" w:sz="4" w:space="0"/>
            </w:tcBorders>
          </w:tcPr>
          <w:p>
            <w:pPr>
              <w:rPr>
                <w:rFonts w:hint="eastAsia" w:ascii="宋体" w:hAnsi="宋体"/>
                <w:sz w:val="18"/>
                <w:szCs w:val="18"/>
              </w:rPr>
            </w:pPr>
            <w:r>
              <w:rPr>
                <w:rFonts w:hint="eastAsia" w:ascii="宋体" w:hAnsi="宋体"/>
                <w:sz w:val="18"/>
                <w:szCs w:val="18"/>
              </w:rPr>
              <w:t>有科学合理的节约用水管理制度；实行用水计划管理，制定节水规划和年度用水计划并分解到各主要用水部门；有健全的节水统计制度，应定期向相关管理部门报送节水统计报表。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2</w:t>
            </w:r>
          </w:p>
        </w:tc>
        <w:tc>
          <w:tcPr>
            <w:tcW w:w="18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管理机构</w:t>
            </w:r>
          </w:p>
        </w:tc>
        <w:tc>
          <w:tcPr>
            <w:tcW w:w="5664" w:type="dxa"/>
            <w:tcBorders>
              <w:top w:val="single" w:color="000000" w:sz="4" w:space="0"/>
              <w:left w:val="single" w:color="000000" w:sz="4" w:space="0"/>
              <w:bottom w:val="single" w:color="000000" w:sz="4" w:space="0"/>
              <w:right w:val="single" w:color="000000" w:sz="4" w:space="0"/>
            </w:tcBorders>
          </w:tcPr>
          <w:p>
            <w:pPr>
              <w:rPr>
                <w:rFonts w:hint="eastAsia" w:ascii="宋体" w:hAnsi="宋体"/>
                <w:sz w:val="18"/>
                <w:szCs w:val="18"/>
              </w:rPr>
            </w:pPr>
            <w:r>
              <w:rPr>
                <w:rFonts w:hint="eastAsia" w:ascii="宋体" w:hAnsi="宋体"/>
                <w:sz w:val="18"/>
                <w:szCs w:val="18"/>
              </w:rPr>
              <w:t>节水管理组织机构健全，有主要领导负责用水、节水工作，有用水、节水管理部门和专（兼）职用水、节水管理人员、岗位职责明确。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3</w:t>
            </w:r>
          </w:p>
        </w:tc>
        <w:tc>
          <w:tcPr>
            <w:tcW w:w="18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管网（设备）管理</w:t>
            </w:r>
          </w:p>
        </w:tc>
        <w:tc>
          <w:tcPr>
            <w:tcW w:w="5664" w:type="dxa"/>
            <w:tcBorders>
              <w:top w:val="single" w:color="000000" w:sz="4" w:space="0"/>
              <w:left w:val="single" w:color="000000" w:sz="4" w:space="0"/>
              <w:bottom w:val="single" w:color="000000" w:sz="4" w:space="0"/>
              <w:right w:val="single" w:color="000000" w:sz="4" w:space="0"/>
            </w:tcBorders>
          </w:tcPr>
          <w:p>
            <w:pPr>
              <w:rPr>
                <w:rFonts w:hint="eastAsia" w:ascii="宋体" w:hAnsi="宋体"/>
                <w:sz w:val="18"/>
                <w:szCs w:val="18"/>
              </w:rPr>
            </w:pPr>
            <w:r>
              <w:rPr>
                <w:rFonts w:hint="eastAsia" w:ascii="宋体" w:hAnsi="宋体"/>
                <w:sz w:val="18"/>
                <w:szCs w:val="18"/>
              </w:rPr>
              <w:t>用水情况清楚，有详细的供排水管网和计量网络图；有日常巡查和保修检修制度。有问题及时解决、定期对管道和设备进行检修。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4</w:t>
            </w:r>
          </w:p>
        </w:tc>
        <w:tc>
          <w:tcPr>
            <w:tcW w:w="18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水计量管理</w:t>
            </w:r>
          </w:p>
        </w:tc>
        <w:tc>
          <w:tcPr>
            <w:tcW w:w="5664" w:type="dxa"/>
            <w:tcBorders>
              <w:top w:val="single" w:color="000000" w:sz="4" w:space="0"/>
              <w:left w:val="single" w:color="000000" w:sz="4" w:space="0"/>
              <w:bottom w:val="single" w:color="000000" w:sz="4" w:space="0"/>
              <w:right w:val="single" w:color="000000" w:sz="4" w:space="0"/>
            </w:tcBorders>
          </w:tcPr>
          <w:p>
            <w:pPr>
              <w:rPr>
                <w:rFonts w:hint="eastAsia" w:ascii="宋体" w:hAnsi="宋体"/>
                <w:sz w:val="18"/>
                <w:szCs w:val="18"/>
              </w:rPr>
            </w:pPr>
            <w:r>
              <w:rPr>
                <w:rFonts w:hint="eastAsia" w:ascii="宋体" w:hAnsi="宋体"/>
                <w:sz w:val="18"/>
                <w:szCs w:val="18"/>
              </w:rPr>
              <w:t>原始记录和统计台账完整规范并定期进行分析；内部实行定额管理，节奖超罚。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5</w:t>
            </w:r>
          </w:p>
        </w:tc>
        <w:tc>
          <w:tcPr>
            <w:tcW w:w="18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水平衡测试</w:t>
            </w:r>
          </w:p>
        </w:tc>
        <w:tc>
          <w:tcPr>
            <w:tcW w:w="5664" w:type="dxa"/>
            <w:tcBorders>
              <w:top w:val="single" w:color="000000" w:sz="4" w:space="0"/>
              <w:left w:val="single" w:color="000000" w:sz="4" w:space="0"/>
              <w:bottom w:val="single" w:color="000000" w:sz="4" w:space="0"/>
              <w:right w:val="single" w:color="000000" w:sz="4" w:space="0"/>
            </w:tcBorders>
          </w:tcPr>
          <w:p>
            <w:pPr>
              <w:rPr>
                <w:rFonts w:hint="eastAsia" w:ascii="宋体" w:hAnsi="宋体"/>
                <w:sz w:val="18"/>
                <w:szCs w:val="18"/>
              </w:rPr>
            </w:pPr>
            <w:r>
              <w:rPr>
                <w:rFonts w:hint="eastAsia" w:ascii="宋体" w:hAnsi="宋体"/>
                <w:sz w:val="18"/>
                <w:szCs w:val="18"/>
              </w:rPr>
              <w:t>依据</w:t>
            </w:r>
            <w:r>
              <w:rPr>
                <w:rFonts w:hint="eastAsia"/>
                <w:color w:val="000000"/>
                <w:sz w:val="18"/>
                <w:szCs w:val="18"/>
              </w:rPr>
              <w:t xml:space="preserve">GB/T </w:t>
            </w:r>
            <w:r>
              <w:rPr>
                <w:color w:val="000000"/>
                <w:sz w:val="18"/>
                <w:szCs w:val="18"/>
              </w:rPr>
              <w:t>12452</w:t>
            </w:r>
            <w:r>
              <w:rPr>
                <w:rFonts w:hint="eastAsia" w:ascii="宋体" w:hAnsi="宋体"/>
                <w:color w:val="000000"/>
                <w:sz w:val="18"/>
                <w:szCs w:val="18"/>
              </w:rPr>
              <w:t>进行水平衡测试；保存有完整的水平衡测试报告书及有关文件。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6</w:t>
            </w:r>
          </w:p>
        </w:tc>
        <w:tc>
          <w:tcPr>
            <w:tcW w:w="18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节水技术改造及投入</w:t>
            </w:r>
          </w:p>
        </w:tc>
        <w:tc>
          <w:tcPr>
            <w:tcW w:w="5664" w:type="dxa"/>
            <w:tcBorders>
              <w:top w:val="single" w:color="000000" w:sz="4" w:space="0"/>
              <w:left w:val="single" w:color="000000" w:sz="4" w:space="0"/>
              <w:bottom w:val="single" w:color="000000" w:sz="4" w:space="0"/>
              <w:right w:val="single" w:color="000000" w:sz="4" w:space="0"/>
            </w:tcBorders>
          </w:tcPr>
          <w:p>
            <w:pPr>
              <w:rPr>
                <w:rFonts w:hint="eastAsia" w:ascii="宋体" w:hAnsi="宋体"/>
                <w:sz w:val="18"/>
                <w:szCs w:val="18"/>
              </w:rPr>
            </w:pPr>
            <w:r>
              <w:rPr>
                <w:rFonts w:hint="eastAsia" w:ascii="宋体" w:hAnsi="宋体"/>
                <w:sz w:val="18"/>
                <w:szCs w:val="18"/>
              </w:rPr>
              <w:t>企业注重节水资金投入，每年列支一定资金用于节水工程建设、节水技术改造，所采用的生产工艺与装备，应符合国家产业政策、技术政策和发展方向，采用节水型设备。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3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7</w:t>
            </w:r>
          </w:p>
        </w:tc>
        <w:tc>
          <w:tcPr>
            <w:tcW w:w="18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sz w:val="18"/>
                <w:szCs w:val="18"/>
              </w:rPr>
            </w:pPr>
            <w:r>
              <w:rPr>
                <w:rFonts w:hint="eastAsia" w:ascii="宋体" w:hAnsi="宋体"/>
                <w:sz w:val="18"/>
                <w:szCs w:val="18"/>
              </w:rPr>
              <w:t>节水宣传</w:t>
            </w:r>
          </w:p>
        </w:tc>
        <w:tc>
          <w:tcPr>
            <w:tcW w:w="5664" w:type="dxa"/>
            <w:tcBorders>
              <w:top w:val="single" w:color="000000" w:sz="4" w:space="0"/>
              <w:left w:val="single" w:color="000000" w:sz="4" w:space="0"/>
              <w:bottom w:val="single" w:color="000000" w:sz="4" w:space="0"/>
              <w:right w:val="single" w:color="000000" w:sz="4" w:space="0"/>
            </w:tcBorders>
          </w:tcPr>
          <w:p>
            <w:pPr>
              <w:rPr>
                <w:rFonts w:hint="eastAsia" w:ascii="宋体" w:hAnsi="宋体"/>
                <w:sz w:val="18"/>
                <w:szCs w:val="18"/>
              </w:rPr>
            </w:pPr>
            <w:r>
              <w:rPr>
                <w:rFonts w:hint="eastAsia" w:ascii="宋体" w:hAnsi="宋体"/>
                <w:sz w:val="18"/>
                <w:szCs w:val="18"/>
              </w:rPr>
              <w:t>经常性开展节水宣传教育，职工有节水意识。</w:t>
            </w:r>
          </w:p>
        </w:tc>
      </w:tr>
    </w:tbl>
    <w:p>
      <w:pPr>
        <w:rPr>
          <w:rFonts w:ascii="宋体" w:hAnsi="宋体"/>
        </w:rPr>
      </w:pPr>
    </w:p>
    <w:p>
      <w:r>
        <w:rPr>
          <w:rFonts w:hint="eastAsia" w:ascii="宋体" w:hAnsi="宋体"/>
        </w:rPr>
        <w:t>节水型企业管理指标的评分方法如下：</w:t>
      </w:r>
    </w:p>
    <w:tbl>
      <w:tblPr>
        <w:tblStyle w:val="22"/>
        <w:tblW w:w="83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5"/>
        <w:gridCol w:w="1589"/>
        <w:gridCol w:w="2730"/>
        <w:gridCol w:w="2638"/>
        <w:gridCol w:w="6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color w:val="000000"/>
                <w:kern w:val="0"/>
                <w:sz w:val="18"/>
                <w:szCs w:val="18"/>
              </w:rPr>
            </w:pPr>
            <w:r>
              <w:rPr>
                <w:rFonts w:hint="eastAsia"/>
                <w:color w:val="000000"/>
                <w:sz w:val="18"/>
                <w:szCs w:val="18"/>
              </w:rPr>
              <w:t>序号</w:t>
            </w:r>
          </w:p>
        </w:tc>
        <w:tc>
          <w:tcPr>
            <w:tcW w:w="1589"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评价指标</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评价内容</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评价方法</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1</w:t>
            </w:r>
          </w:p>
        </w:tc>
        <w:tc>
          <w:tcPr>
            <w:tcW w:w="1589"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管理制度</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有科学合理的节水管理网络和岗位责任制</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查阅文件、网络图和工作记录</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制定节水规划和用水计划</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查阅文件和记录</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有健全的节水统计制度，应定期向相关部门报送节水统计报表</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查阅有关资料</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2</w:t>
            </w:r>
          </w:p>
        </w:tc>
        <w:tc>
          <w:tcPr>
            <w:tcW w:w="1589"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管理机构和人员</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有主要领导负责用水、节水工作</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查阅有关文件和会议记录</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有用水、节水管理部门和专（兼）职用水、节水管理人员</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查阅有关资料</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3</w:t>
            </w:r>
          </w:p>
        </w:tc>
        <w:tc>
          <w:tcPr>
            <w:tcW w:w="1589"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管网（设备）管理</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有详细的供水管网图、排水管网图和计量网络图</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查阅图纸和及查看现场</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有日常巡查和保修检修制度，定期对管道和设备进行检修</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查阅巡查记录和落实情况</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c>
          <w:tcPr>
            <w:tcW w:w="1589"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水计量管理</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原始记录和统计台账完整规范并定期进行分析</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查阅台账和分析报告，核实数据</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内部实行定额管理，节奖超罚</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查阅定额管理节奖超罚文件和资料</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5</w:t>
            </w:r>
          </w:p>
        </w:tc>
        <w:tc>
          <w:tcPr>
            <w:tcW w:w="1589"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水平衡测试</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按规定周期进行水平衡测试</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查阅水平衡测试报告书及有关文件</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6</w:t>
            </w:r>
          </w:p>
        </w:tc>
        <w:tc>
          <w:tcPr>
            <w:tcW w:w="1589"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节水技术改造及投入</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企业注重节水资金投入，每年列支一定资金用于节水工程建设、节水技术改造</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查阅有关工作记录</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使用节水新技术、新工艺、新设备</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节水设备管理好且运行正常</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5"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7</w:t>
            </w:r>
          </w:p>
        </w:tc>
        <w:tc>
          <w:tcPr>
            <w:tcW w:w="1589" w:type="dxa"/>
            <w:vMerge w:val="restart"/>
            <w:tcBorders>
              <w:top w:val="nil"/>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节水宣传</w:t>
            </w: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经常开支节水管理和培训、节水宣传教育、节水奖励</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查看相关资料</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kern w:val="0"/>
                <w:sz w:val="18"/>
                <w:szCs w:val="18"/>
              </w:rPr>
            </w:pPr>
          </w:p>
        </w:tc>
        <w:tc>
          <w:tcPr>
            <w:tcW w:w="2730"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职工有节水意识</w:t>
            </w:r>
          </w:p>
        </w:tc>
        <w:tc>
          <w:tcPr>
            <w:tcW w:w="2638"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rPr>
                <w:rFonts w:hint="eastAsia"/>
                <w:color w:val="000000"/>
                <w:sz w:val="18"/>
                <w:szCs w:val="18"/>
              </w:rPr>
            </w:pPr>
            <w:r>
              <w:rPr>
                <w:rFonts w:hint="eastAsia"/>
                <w:color w:val="000000"/>
                <w:sz w:val="18"/>
                <w:szCs w:val="18"/>
              </w:rPr>
              <w:t>询问职工节水意识</w:t>
            </w:r>
          </w:p>
        </w:tc>
        <w:tc>
          <w:tcPr>
            <w:tcW w:w="617" w:type="dxa"/>
            <w:tcBorders>
              <w:top w:val="single" w:color="000000" w:sz="4" w:space="0"/>
              <w:left w:val="single" w:color="000000" w:sz="4" w:space="0"/>
              <w:bottom w:val="single" w:color="000000" w:sz="4" w:space="0"/>
              <w:right w:val="single" w:color="000000" w:sz="4" w:space="0"/>
            </w:tcBorders>
            <w:vAlign w:val="center"/>
          </w:tcPr>
          <w:p>
            <w:pPr>
              <w:pStyle w:val="38"/>
              <w:ind w:firstLine="0" w:firstLineChars="0"/>
              <w:jc w:val="center"/>
              <w:rPr>
                <w:rFonts w:hint="eastAsia"/>
                <w:color w:val="000000"/>
                <w:sz w:val="18"/>
                <w:szCs w:val="18"/>
              </w:rPr>
            </w:pPr>
            <w:r>
              <w:rPr>
                <w:rFonts w:hint="eastAsia"/>
                <w:color w:val="000000"/>
                <w:sz w:val="18"/>
                <w:szCs w:val="18"/>
              </w:rPr>
              <w:t>4</w:t>
            </w:r>
          </w:p>
        </w:tc>
      </w:tr>
    </w:tbl>
    <w:p>
      <w:pPr>
        <w:rPr>
          <w:rFonts w:ascii="宋体" w:hAnsi="宋体"/>
          <w:b/>
          <w:bCs/>
        </w:rPr>
      </w:pPr>
    </w:p>
    <w:p>
      <w:pPr>
        <w:adjustRightInd w:val="0"/>
        <w:snapToGrid w:val="0"/>
        <w:spacing w:line="360" w:lineRule="auto"/>
        <w:outlineLvl w:val="2"/>
        <w:rPr>
          <w:b/>
          <w:bCs/>
        </w:rPr>
      </w:pPr>
      <w:r>
        <w:rPr>
          <w:rFonts w:hint="eastAsia"/>
          <w:b/>
          <w:bCs/>
        </w:rPr>
        <w:t>4</w:t>
      </w:r>
      <w:r>
        <w:rPr>
          <w:b/>
          <w:bCs/>
        </w:rPr>
        <w:t>.4.3</w:t>
      </w:r>
      <w:r>
        <w:rPr>
          <w:rFonts w:hint="eastAsia"/>
          <w:b/>
          <w:bCs/>
        </w:rPr>
        <w:t>技术性</w:t>
      </w:r>
      <w:r>
        <w:rPr>
          <w:b/>
          <w:bCs/>
        </w:rPr>
        <w:t>指标的确定</w:t>
      </w:r>
    </w:p>
    <w:p>
      <w:pPr>
        <w:spacing w:line="360" w:lineRule="auto"/>
        <w:outlineLvl w:val="0"/>
        <w:rPr>
          <w:rFonts w:hint="eastAsia" w:ascii="宋体" w:hAnsi="宋体"/>
        </w:rPr>
      </w:pPr>
      <w:bookmarkStart w:id="62" w:name="_Toc27859"/>
      <w:r>
        <w:rPr>
          <w:rFonts w:hint="eastAsia" w:ascii="宋体" w:hAnsi="宋体"/>
        </w:rPr>
        <w:t>1</w:t>
      </w:r>
      <w:r>
        <w:rPr>
          <w:rFonts w:ascii="宋体" w:hAnsi="宋体"/>
        </w:rPr>
        <w:t>.</w:t>
      </w:r>
      <w:r>
        <w:rPr>
          <w:rFonts w:hint="eastAsia" w:ascii="宋体" w:hAnsi="宋体"/>
        </w:rPr>
        <w:t>单位产品取水量</w:t>
      </w:r>
      <w:bookmarkEnd w:id="62"/>
    </w:p>
    <w:bookmarkEnd w:id="52"/>
    <w:p>
      <w:pPr>
        <w:spacing w:line="360" w:lineRule="auto"/>
        <w:ind w:firstLine="420" w:firstLineChars="200"/>
        <w:rPr>
          <w:rFonts w:ascii="宋体" w:hAnsi="宋体"/>
        </w:rPr>
      </w:pPr>
      <w:r>
        <w:rPr>
          <w:rFonts w:hint="eastAsia" w:ascii="宋体" w:hAnsi="宋体"/>
        </w:rPr>
        <w:t>毛纺织产品（含过程产品）主要包括洗净毛、炭化毛、化学处理毛条、精纺毛纱线、粗纺（半精纺）毛纱线、精梳毛织物、粗梳毛织物、毛针织品、分梳绒、羊绒针织品等1</w:t>
      </w:r>
      <w:r>
        <w:rPr>
          <w:rFonts w:ascii="宋体" w:hAnsi="宋体"/>
        </w:rPr>
        <w:t>0</w:t>
      </w:r>
      <w:r>
        <w:rPr>
          <w:rFonts w:hint="eastAsia" w:ascii="宋体" w:hAnsi="宋体"/>
        </w:rPr>
        <w:t>类产品，并分别给出了单位产品取水量指标。由于《取水定额 毛纺织产品》（G</w:t>
      </w:r>
      <w:r>
        <w:rPr>
          <w:rFonts w:ascii="宋体" w:hAnsi="宋体"/>
        </w:rPr>
        <w:t>B/T 18916.14-2014</w:t>
      </w:r>
      <w:r>
        <w:rPr>
          <w:rFonts w:hint="eastAsia" w:ascii="宋体" w:hAnsi="宋体"/>
        </w:rPr>
        <w:t>）在修订，本标准中单位产品取水量按照最新调研数据，与修订后版本保持一致。与2</w:t>
      </w:r>
      <w:r>
        <w:rPr>
          <w:rFonts w:ascii="宋体" w:hAnsi="宋体"/>
        </w:rPr>
        <w:t>014</w:t>
      </w:r>
      <w:r>
        <w:rPr>
          <w:rFonts w:hint="eastAsia" w:ascii="宋体" w:hAnsi="宋体"/>
        </w:rPr>
        <w:t>年版本相比，标准修订后的产品不仅全面覆盖了原标准中的产品，还增加了新内容，边界更加符合实际生产流程和企业加工形式，产品指向更加清晰明确，使标准可操作性更强。同时指标有所提升。近年来随着科技的不断进步、人们环保意识的提升、国家环境要求倒逼机制以及对绿色低碳的倡导，企业更加重视节水降耗，特别是一些节水技术的推广应用大大降低了单位产品用水量，比如低温染色技术、小浴比染色技术、热能回收技术、中水回用技术等，对减少用水、提高水的重复利用发挥了重要技术支撑。</w:t>
      </w:r>
    </w:p>
    <w:p>
      <w:pPr>
        <w:spacing w:line="360" w:lineRule="auto"/>
        <w:jc w:val="center"/>
        <w:rPr>
          <w:rFonts w:ascii="宋体" w:hAnsi="宋体"/>
        </w:rPr>
      </w:pPr>
      <w:r>
        <w:rPr>
          <w:rFonts w:ascii="宋体" w:hAnsi="宋体"/>
        </w:rPr>
        <w:t xml:space="preserve"> </w:t>
      </w:r>
      <w:r>
        <w:rPr>
          <w:rFonts w:hint="eastAsia" w:ascii="宋体" w:hAnsi="宋体"/>
        </w:rPr>
        <w:t>节水型企业单位产品取水量指标考核要求</w:t>
      </w:r>
    </w:p>
    <w:tbl>
      <w:tblPr>
        <w:tblStyle w:val="22"/>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9"/>
        <w:gridCol w:w="1221"/>
        <w:gridCol w:w="1678"/>
        <w:gridCol w:w="1276"/>
        <w:gridCol w:w="3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主要产品</w:t>
            </w:r>
          </w:p>
        </w:tc>
        <w:tc>
          <w:tcPr>
            <w:tcW w:w="1221" w:type="dxa"/>
            <w:vAlign w:val="center"/>
          </w:tcPr>
          <w:p>
            <w:pPr>
              <w:jc w:val="center"/>
              <w:rPr>
                <w:rFonts w:ascii="宋体" w:hAnsi="宋体" w:cs="宋体"/>
                <w:sz w:val="18"/>
                <w:szCs w:val="18"/>
              </w:rPr>
            </w:pPr>
            <w:r>
              <w:rPr>
                <w:rFonts w:hint="eastAsia" w:ascii="宋体" w:hAnsi="宋体" w:cs="宋体"/>
                <w:sz w:val="18"/>
                <w:szCs w:val="18"/>
              </w:rPr>
              <w:t>单位</w:t>
            </w:r>
          </w:p>
        </w:tc>
        <w:tc>
          <w:tcPr>
            <w:tcW w:w="1678" w:type="dxa"/>
            <w:vAlign w:val="center"/>
          </w:tcPr>
          <w:p>
            <w:pPr>
              <w:jc w:val="center"/>
              <w:rPr>
                <w:sz w:val="18"/>
                <w:szCs w:val="18"/>
              </w:rPr>
            </w:pPr>
            <w:r>
              <w:rPr>
                <w:sz w:val="18"/>
                <w:szCs w:val="18"/>
              </w:rPr>
              <w:t>GB/T 18916.14-2014</w:t>
            </w:r>
            <w:r>
              <w:rPr>
                <w:rFonts w:hint="eastAsia"/>
                <w:sz w:val="18"/>
                <w:szCs w:val="18"/>
              </w:rPr>
              <w:t>（新、改扩建值）</w:t>
            </w:r>
          </w:p>
        </w:tc>
        <w:tc>
          <w:tcPr>
            <w:tcW w:w="1276" w:type="dxa"/>
            <w:vAlign w:val="center"/>
          </w:tcPr>
          <w:p>
            <w:pPr>
              <w:jc w:val="center"/>
              <w:rPr>
                <w:sz w:val="18"/>
                <w:szCs w:val="18"/>
              </w:rPr>
            </w:pPr>
            <w:r>
              <w:rPr>
                <w:rFonts w:hint="eastAsia"/>
                <w:sz w:val="18"/>
                <w:szCs w:val="18"/>
              </w:rPr>
              <w:t>本标准</w:t>
            </w:r>
          </w:p>
        </w:tc>
        <w:tc>
          <w:tcPr>
            <w:tcW w:w="3002" w:type="dxa"/>
          </w:tcPr>
          <w:p>
            <w:pPr>
              <w:ind w:firstLine="564"/>
              <w:jc w:val="center"/>
              <w:rPr>
                <w:sz w:val="18"/>
                <w:szCs w:val="18"/>
              </w:rPr>
            </w:pPr>
            <w:r>
              <w:rPr>
                <w:rFonts w:hint="eastAsia"/>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洗净毛</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r>
              <w:rPr>
                <w:rFonts w:hint="eastAsia" w:ascii="宋体" w:hAnsi="宋体" w:cs="宋体"/>
                <w:sz w:val="18"/>
                <w:szCs w:val="18"/>
              </w:rPr>
              <w:t>原毛</w:t>
            </w:r>
          </w:p>
        </w:tc>
        <w:tc>
          <w:tcPr>
            <w:tcW w:w="1678" w:type="dxa"/>
            <w:vAlign w:val="center"/>
          </w:tcPr>
          <w:p>
            <w:pPr>
              <w:jc w:val="center"/>
              <w:rPr>
                <w:sz w:val="18"/>
                <w:szCs w:val="18"/>
              </w:rPr>
            </w:pPr>
            <w:r>
              <w:rPr>
                <w:sz w:val="18"/>
                <w:szCs w:val="18"/>
              </w:rPr>
              <w:t>18</w:t>
            </w:r>
          </w:p>
        </w:tc>
        <w:tc>
          <w:tcPr>
            <w:tcW w:w="1276" w:type="dxa"/>
            <w:vAlign w:val="center"/>
          </w:tcPr>
          <w:p>
            <w:pPr>
              <w:jc w:val="center"/>
              <w:rPr>
                <w:sz w:val="18"/>
                <w:szCs w:val="18"/>
              </w:rPr>
            </w:pPr>
            <w:r>
              <w:rPr>
                <w:sz w:val="18"/>
                <w:szCs w:val="18"/>
              </w:rPr>
              <w:t>12</w:t>
            </w:r>
          </w:p>
        </w:tc>
        <w:tc>
          <w:tcPr>
            <w:tcW w:w="3002" w:type="dxa"/>
          </w:tcPr>
          <w:p>
            <w:pPr>
              <w:rPr>
                <w:sz w:val="18"/>
                <w:szCs w:val="18"/>
              </w:rPr>
            </w:pPr>
            <w:r>
              <w:rPr>
                <w:rFonts w:hint="eastAsia"/>
                <w:sz w:val="18"/>
                <w:szCs w:val="18"/>
              </w:rPr>
              <w:t>比原新建企业水平有提高</w:t>
            </w:r>
            <w:r>
              <w:rPr>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炭化毛</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r>
              <w:rPr>
                <w:rFonts w:hint="eastAsia" w:ascii="宋体" w:hAnsi="宋体" w:cs="宋体"/>
                <w:sz w:val="18"/>
                <w:szCs w:val="18"/>
              </w:rPr>
              <w:t>原毛</w:t>
            </w:r>
          </w:p>
        </w:tc>
        <w:tc>
          <w:tcPr>
            <w:tcW w:w="1678" w:type="dxa"/>
            <w:vAlign w:val="center"/>
          </w:tcPr>
          <w:p>
            <w:pPr>
              <w:jc w:val="center"/>
              <w:rPr>
                <w:sz w:val="18"/>
                <w:szCs w:val="18"/>
              </w:rPr>
            </w:pPr>
            <w:r>
              <w:rPr>
                <w:sz w:val="18"/>
                <w:szCs w:val="18"/>
              </w:rPr>
              <w:t>22</w:t>
            </w:r>
          </w:p>
        </w:tc>
        <w:tc>
          <w:tcPr>
            <w:tcW w:w="1276" w:type="dxa"/>
            <w:vAlign w:val="center"/>
          </w:tcPr>
          <w:p>
            <w:pPr>
              <w:jc w:val="center"/>
              <w:rPr>
                <w:sz w:val="18"/>
                <w:szCs w:val="18"/>
              </w:rPr>
            </w:pPr>
            <w:r>
              <w:rPr>
                <w:sz w:val="18"/>
                <w:szCs w:val="18"/>
              </w:rPr>
              <w:t>16</w:t>
            </w:r>
          </w:p>
        </w:tc>
        <w:tc>
          <w:tcPr>
            <w:tcW w:w="3002" w:type="dxa"/>
          </w:tcPr>
          <w:p>
            <w:pPr>
              <w:rPr>
                <w:sz w:val="18"/>
                <w:szCs w:val="18"/>
              </w:rPr>
            </w:pPr>
            <w:r>
              <w:rPr>
                <w:rFonts w:hint="eastAsia"/>
                <w:sz w:val="18"/>
                <w:szCs w:val="18"/>
              </w:rPr>
              <w:t>比原指标均略有提升</w:t>
            </w:r>
            <w:r>
              <w:rPr>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化学处理毛条</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p>
        </w:tc>
        <w:tc>
          <w:tcPr>
            <w:tcW w:w="1678" w:type="dxa"/>
            <w:vAlign w:val="center"/>
          </w:tcPr>
          <w:p>
            <w:pPr>
              <w:jc w:val="center"/>
              <w:rPr>
                <w:sz w:val="18"/>
                <w:szCs w:val="18"/>
              </w:rPr>
            </w:pPr>
            <w:r>
              <w:rPr>
                <w:sz w:val="18"/>
                <w:szCs w:val="18"/>
              </w:rPr>
              <w:t>/</w:t>
            </w:r>
          </w:p>
        </w:tc>
        <w:tc>
          <w:tcPr>
            <w:tcW w:w="1276" w:type="dxa"/>
            <w:vAlign w:val="center"/>
          </w:tcPr>
          <w:p>
            <w:pPr>
              <w:jc w:val="center"/>
              <w:rPr>
                <w:sz w:val="18"/>
                <w:szCs w:val="18"/>
              </w:rPr>
            </w:pPr>
            <w:r>
              <w:rPr>
                <w:sz w:val="18"/>
                <w:szCs w:val="18"/>
              </w:rPr>
              <w:t>12</w:t>
            </w:r>
          </w:p>
        </w:tc>
        <w:tc>
          <w:tcPr>
            <w:tcW w:w="3002" w:type="dxa"/>
          </w:tcPr>
          <w:p>
            <w:pPr>
              <w:rPr>
                <w:sz w:val="18"/>
                <w:szCs w:val="18"/>
              </w:rPr>
            </w:pPr>
            <w:r>
              <w:rPr>
                <w:rFonts w:hint="eastAsia"/>
                <w:sz w:val="18"/>
                <w:szCs w:val="18"/>
              </w:rPr>
              <w:t>羊毛丝光、防缩、巴素兰工艺用水较多，产品应用面逐步扩大，新标准补充了该项指标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精纺毛纱线</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p>
        </w:tc>
        <w:tc>
          <w:tcPr>
            <w:tcW w:w="1678" w:type="dxa"/>
            <w:vAlign w:val="center"/>
          </w:tcPr>
          <w:p>
            <w:pPr>
              <w:jc w:val="center"/>
              <w:rPr>
                <w:sz w:val="18"/>
                <w:szCs w:val="18"/>
              </w:rPr>
            </w:pPr>
            <w:r>
              <w:rPr>
                <w:sz w:val="18"/>
                <w:szCs w:val="18"/>
              </w:rPr>
              <w:t>/</w:t>
            </w:r>
          </w:p>
        </w:tc>
        <w:tc>
          <w:tcPr>
            <w:tcW w:w="1276" w:type="dxa"/>
            <w:vAlign w:val="center"/>
          </w:tcPr>
          <w:p>
            <w:pPr>
              <w:jc w:val="center"/>
              <w:rPr>
                <w:sz w:val="18"/>
                <w:szCs w:val="18"/>
              </w:rPr>
            </w:pPr>
            <w:r>
              <w:rPr>
                <w:sz w:val="18"/>
                <w:szCs w:val="18"/>
              </w:rPr>
              <w:t>70</w:t>
            </w:r>
            <w:r>
              <w:rPr>
                <w:rFonts w:hint="eastAsia"/>
                <w:sz w:val="18"/>
                <w:szCs w:val="18"/>
              </w:rPr>
              <w:t>（</w:t>
            </w:r>
            <w:r>
              <w:rPr>
                <w:sz w:val="18"/>
                <w:szCs w:val="18"/>
              </w:rPr>
              <w:t>92</w:t>
            </w:r>
            <w:r>
              <w:rPr>
                <w:rFonts w:hint="eastAsia"/>
                <w:sz w:val="18"/>
                <w:szCs w:val="18"/>
              </w:rPr>
              <w:t>）</w:t>
            </w:r>
          </w:p>
        </w:tc>
        <w:tc>
          <w:tcPr>
            <w:tcW w:w="3002" w:type="dxa"/>
            <w:vMerge w:val="restart"/>
          </w:tcPr>
          <w:p>
            <w:pPr>
              <w:rPr>
                <w:sz w:val="18"/>
                <w:szCs w:val="18"/>
              </w:rPr>
            </w:pPr>
            <w:r>
              <w:rPr>
                <w:rFonts w:hint="eastAsia"/>
                <w:sz w:val="18"/>
                <w:szCs w:val="18"/>
              </w:rPr>
              <w:t>原指标对精梳、粗梳工艺划分不清，并且对羊绒等特种动物纤维的纱线取水量考虑不周，新标准进一步明确工艺路线和原料的影响因素，给出了相应调整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粗纺（半精纺）毛纱线</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p>
        </w:tc>
        <w:tc>
          <w:tcPr>
            <w:tcW w:w="1678" w:type="dxa"/>
            <w:vAlign w:val="center"/>
          </w:tcPr>
          <w:p>
            <w:pPr>
              <w:jc w:val="center"/>
              <w:rPr>
                <w:sz w:val="18"/>
                <w:szCs w:val="18"/>
              </w:rPr>
            </w:pPr>
            <w:r>
              <w:rPr>
                <w:sz w:val="18"/>
                <w:szCs w:val="18"/>
              </w:rPr>
              <w:t>/</w:t>
            </w:r>
          </w:p>
        </w:tc>
        <w:tc>
          <w:tcPr>
            <w:tcW w:w="1276" w:type="dxa"/>
            <w:vAlign w:val="center"/>
          </w:tcPr>
          <w:p>
            <w:pPr>
              <w:jc w:val="center"/>
              <w:rPr>
                <w:sz w:val="18"/>
                <w:szCs w:val="18"/>
              </w:rPr>
            </w:pPr>
            <w:r>
              <w:rPr>
                <w:sz w:val="18"/>
                <w:szCs w:val="18"/>
              </w:rPr>
              <w:t>65</w:t>
            </w:r>
            <w:r>
              <w:rPr>
                <w:rFonts w:hint="eastAsia"/>
                <w:sz w:val="18"/>
                <w:szCs w:val="18"/>
              </w:rPr>
              <w:t>（</w:t>
            </w:r>
            <w:r>
              <w:rPr>
                <w:sz w:val="18"/>
                <w:szCs w:val="18"/>
              </w:rPr>
              <w:t>80</w:t>
            </w:r>
            <w:r>
              <w:rPr>
                <w:rFonts w:hint="eastAsia"/>
                <w:sz w:val="18"/>
                <w:szCs w:val="18"/>
              </w:rPr>
              <w:t>）</w:t>
            </w:r>
          </w:p>
        </w:tc>
        <w:tc>
          <w:tcPr>
            <w:tcW w:w="3002" w:type="dxa"/>
            <w:vMerge w:val="continue"/>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精梳毛织物</w:t>
            </w:r>
          </w:p>
        </w:tc>
        <w:tc>
          <w:tcPr>
            <w:tcW w:w="1221" w:type="dxa"/>
            <w:vAlign w:val="center"/>
          </w:tcPr>
          <w:p>
            <w:pPr>
              <w:widowControl/>
              <w:jc w:val="center"/>
              <w:textAlignment w:val="center"/>
              <w:rPr>
                <w:sz w:val="18"/>
                <w:szCs w:val="18"/>
              </w:rPr>
            </w:pPr>
            <w:r>
              <w:rPr>
                <w:sz w:val="18"/>
                <w:szCs w:val="18"/>
              </w:rPr>
              <w:t>m</w:t>
            </w:r>
            <w:r>
              <w:rPr>
                <w:sz w:val="18"/>
                <w:szCs w:val="18"/>
                <w:vertAlign w:val="superscript"/>
              </w:rPr>
              <w:t>3</w:t>
            </w:r>
            <w:r>
              <w:rPr>
                <w:sz w:val="18"/>
                <w:szCs w:val="18"/>
              </w:rPr>
              <w:t>/</w:t>
            </w:r>
            <w:r>
              <w:rPr>
                <w:rStyle w:val="70"/>
                <w:rFonts w:hint="default" w:ascii="Times New Roman" w:hAnsi="Times New Roman" w:cs="Times New Roman"/>
                <w:color w:val="auto"/>
                <w:sz w:val="18"/>
                <w:szCs w:val="18"/>
                <w:lang w:bidi="ar"/>
              </w:rPr>
              <w:t>100m</w:t>
            </w:r>
          </w:p>
        </w:tc>
        <w:tc>
          <w:tcPr>
            <w:tcW w:w="1678" w:type="dxa"/>
            <w:vAlign w:val="center"/>
          </w:tcPr>
          <w:p>
            <w:pPr>
              <w:jc w:val="center"/>
              <w:rPr>
                <w:sz w:val="18"/>
                <w:szCs w:val="18"/>
              </w:rPr>
            </w:pPr>
            <w:r>
              <w:rPr>
                <w:sz w:val="18"/>
                <w:szCs w:val="18"/>
              </w:rPr>
              <w:t>18</w:t>
            </w:r>
          </w:p>
        </w:tc>
        <w:tc>
          <w:tcPr>
            <w:tcW w:w="1276" w:type="dxa"/>
            <w:vAlign w:val="center"/>
          </w:tcPr>
          <w:p>
            <w:pPr>
              <w:jc w:val="center"/>
              <w:rPr>
                <w:sz w:val="18"/>
                <w:szCs w:val="18"/>
              </w:rPr>
            </w:pPr>
            <w:r>
              <w:rPr>
                <w:sz w:val="18"/>
                <w:szCs w:val="18"/>
              </w:rPr>
              <w:t>12</w:t>
            </w:r>
            <w:r>
              <w:rPr>
                <w:rFonts w:hint="eastAsia"/>
                <w:sz w:val="18"/>
                <w:szCs w:val="18"/>
              </w:rPr>
              <w:t>（</w:t>
            </w:r>
            <w:r>
              <w:rPr>
                <w:sz w:val="18"/>
                <w:szCs w:val="18"/>
              </w:rPr>
              <w:t>16</w:t>
            </w:r>
            <w:r>
              <w:rPr>
                <w:rFonts w:hint="eastAsia"/>
                <w:sz w:val="18"/>
                <w:szCs w:val="18"/>
              </w:rPr>
              <w:t>）</w:t>
            </w:r>
          </w:p>
        </w:tc>
        <w:tc>
          <w:tcPr>
            <w:tcW w:w="3002" w:type="dxa"/>
            <w:vAlign w:val="center"/>
          </w:tcPr>
          <w:p>
            <w:pPr>
              <w:widowControl/>
              <w:jc w:val="left"/>
              <w:textAlignment w:val="center"/>
              <w:rPr>
                <w:sz w:val="18"/>
                <w:szCs w:val="18"/>
              </w:rPr>
            </w:pPr>
            <w:r>
              <w:rPr>
                <w:rFonts w:hint="eastAsia"/>
                <w:kern w:val="0"/>
                <w:sz w:val="18"/>
                <w:szCs w:val="18"/>
                <w:lang w:bidi="ar"/>
              </w:rPr>
              <w:t>指标所涵盖的工艺路线为毛条染色、复洗、精纺纺纱、织造、后整理（干整、湿整），指标值经过讨论</w:t>
            </w:r>
            <w:r>
              <w:rPr>
                <w:kern w:val="0"/>
                <w:sz w:val="18"/>
                <w:szCs w:val="18"/>
                <w:lang w:bidi="ar"/>
              </w:rPr>
              <w:t>80%</w:t>
            </w:r>
            <w:r>
              <w:rPr>
                <w:rFonts w:hint="eastAsia"/>
                <w:kern w:val="0"/>
                <w:sz w:val="18"/>
                <w:szCs w:val="18"/>
                <w:lang w:bidi="ar"/>
              </w:rPr>
              <w:t>企业可以达到。标准品为</w:t>
            </w:r>
            <w:r>
              <w:rPr>
                <w:kern w:val="0"/>
                <w:sz w:val="18"/>
                <w:szCs w:val="18"/>
                <w:lang w:bidi="ar"/>
              </w:rPr>
              <w:t>30kg/100m</w:t>
            </w:r>
            <w:r>
              <w:rPr>
                <w:rFonts w:hint="eastAsia"/>
                <w:kern w:val="0"/>
                <w:sz w:val="18"/>
                <w:szCs w:val="18"/>
                <w:lang w:bidi="ar"/>
              </w:rPr>
              <w:t>，羊绒产品折系数</w:t>
            </w:r>
            <w:r>
              <w:rPr>
                <w:kern w:val="0"/>
                <w:sz w:val="18"/>
                <w:szCs w:val="18"/>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粗梳毛织物</w:t>
            </w:r>
          </w:p>
        </w:tc>
        <w:tc>
          <w:tcPr>
            <w:tcW w:w="1221" w:type="dxa"/>
            <w:vAlign w:val="center"/>
          </w:tcPr>
          <w:p>
            <w:pPr>
              <w:widowControl/>
              <w:jc w:val="center"/>
              <w:textAlignment w:val="center"/>
              <w:rPr>
                <w:sz w:val="18"/>
                <w:szCs w:val="18"/>
              </w:rPr>
            </w:pPr>
            <w:r>
              <w:rPr>
                <w:sz w:val="18"/>
                <w:szCs w:val="18"/>
              </w:rPr>
              <w:t>m</w:t>
            </w:r>
            <w:r>
              <w:rPr>
                <w:sz w:val="18"/>
                <w:szCs w:val="18"/>
                <w:vertAlign w:val="superscript"/>
              </w:rPr>
              <w:t>3</w:t>
            </w:r>
            <w:r>
              <w:rPr>
                <w:sz w:val="18"/>
                <w:szCs w:val="18"/>
              </w:rPr>
              <w:t>/</w:t>
            </w:r>
            <w:r>
              <w:rPr>
                <w:rStyle w:val="70"/>
                <w:rFonts w:hint="default" w:ascii="Times New Roman" w:hAnsi="Times New Roman" w:cs="Times New Roman"/>
                <w:color w:val="auto"/>
                <w:sz w:val="18"/>
                <w:szCs w:val="18"/>
                <w:lang w:bidi="ar"/>
              </w:rPr>
              <w:t>100m</w:t>
            </w:r>
          </w:p>
        </w:tc>
        <w:tc>
          <w:tcPr>
            <w:tcW w:w="1678" w:type="dxa"/>
            <w:vAlign w:val="center"/>
          </w:tcPr>
          <w:p>
            <w:pPr>
              <w:jc w:val="center"/>
              <w:rPr>
                <w:sz w:val="18"/>
                <w:szCs w:val="18"/>
              </w:rPr>
            </w:pPr>
            <w:r>
              <w:rPr>
                <w:sz w:val="18"/>
                <w:szCs w:val="18"/>
              </w:rPr>
              <w:t>22</w:t>
            </w:r>
          </w:p>
        </w:tc>
        <w:tc>
          <w:tcPr>
            <w:tcW w:w="1276" w:type="dxa"/>
            <w:vAlign w:val="center"/>
          </w:tcPr>
          <w:p>
            <w:pPr>
              <w:jc w:val="center"/>
              <w:rPr>
                <w:sz w:val="18"/>
                <w:szCs w:val="18"/>
              </w:rPr>
            </w:pPr>
            <w:r>
              <w:rPr>
                <w:sz w:val="18"/>
                <w:szCs w:val="18"/>
              </w:rPr>
              <w:t>17</w:t>
            </w:r>
            <w:r>
              <w:rPr>
                <w:rFonts w:hint="eastAsia"/>
                <w:sz w:val="18"/>
                <w:szCs w:val="18"/>
              </w:rPr>
              <w:t>（</w:t>
            </w:r>
            <w:r>
              <w:rPr>
                <w:sz w:val="18"/>
                <w:szCs w:val="18"/>
              </w:rPr>
              <w:t>22</w:t>
            </w:r>
            <w:r>
              <w:rPr>
                <w:rFonts w:hint="eastAsia"/>
                <w:sz w:val="18"/>
                <w:szCs w:val="18"/>
              </w:rPr>
              <w:t>）</w:t>
            </w:r>
          </w:p>
        </w:tc>
        <w:tc>
          <w:tcPr>
            <w:tcW w:w="3002" w:type="dxa"/>
            <w:vAlign w:val="center"/>
          </w:tcPr>
          <w:p>
            <w:pPr>
              <w:widowControl/>
              <w:jc w:val="left"/>
              <w:textAlignment w:val="center"/>
              <w:rPr>
                <w:sz w:val="18"/>
                <w:szCs w:val="18"/>
              </w:rPr>
            </w:pPr>
            <w:r>
              <w:rPr>
                <w:rFonts w:hint="eastAsia"/>
                <w:kern w:val="0"/>
                <w:sz w:val="18"/>
                <w:szCs w:val="18"/>
                <w:lang w:bidi="ar"/>
              </w:rPr>
              <w:t>指标所涵盖的工艺路线为散毛染色、坯布染色、粗纺纺纱、织造、后整理（干整、湿整），指标值经过讨论</w:t>
            </w:r>
            <w:r>
              <w:rPr>
                <w:kern w:val="0"/>
                <w:sz w:val="18"/>
                <w:szCs w:val="18"/>
                <w:lang w:bidi="ar"/>
              </w:rPr>
              <w:t>80%</w:t>
            </w:r>
            <w:r>
              <w:rPr>
                <w:rFonts w:hint="eastAsia"/>
                <w:kern w:val="0"/>
                <w:sz w:val="18"/>
                <w:szCs w:val="18"/>
                <w:lang w:bidi="ar"/>
              </w:rPr>
              <w:t>企业可以达到。标准品为</w:t>
            </w:r>
            <w:r>
              <w:rPr>
                <w:kern w:val="0"/>
                <w:sz w:val="18"/>
                <w:szCs w:val="18"/>
                <w:lang w:bidi="ar"/>
              </w:rPr>
              <w:t>60kg/100m</w:t>
            </w:r>
            <w:r>
              <w:rPr>
                <w:rFonts w:hint="eastAsia"/>
                <w:kern w:val="0"/>
                <w:sz w:val="18"/>
                <w:szCs w:val="18"/>
                <w:lang w:bidi="ar"/>
              </w:rPr>
              <w:t>，羊绒产品折系数</w:t>
            </w:r>
            <w:r>
              <w:rPr>
                <w:kern w:val="0"/>
                <w:sz w:val="18"/>
                <w:szCs w:val="18"/>
                <w:lang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349" w:type="dxa"/>
            <w:vAlign w:val="center"/>
          </w:tcPr>
          <w:p>
            <w:pPr>
              <w:jc w:val="center"/>
              <w:rPr>
                <w:rFonts w:ascii="宋体" w:hAnsi="宋体" w:cs="宋体"/>
                <w:sz w:val="18"/>
                <w:szCs w:val="18"/>
              </w:rPr>
            </w:pPr>
            <w:r>
              <w:rPr>
                <w:rFonts w:hint="eastAsia" w:ascii="宋体" w:hAnsi="宋体" w:cs="宋体"/>
                <w:sz w:val="18"/>
                <w:szCs w:val="18"/>
              </w:rPr>
              <w:t>毛针织品</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p>
        </w:tc>
        <w:tc>
          <w:tcPr>
            <w:tcW w:w="1678" w:type="dxa"/>
            <w:vAlign w:val="center"/>
          </w:tcPr>
          <w:p>
            <w:pPr>
              <w:jc w:val="center"/>
              <w:rPr>
                <w:sz w:val="18"/>
                <w:szCs w:val="18"/>
              </w:rPr>
            </w:pPr>
            <w:r>
              <w:rPr>
                <w:sz w:val="18"/>
                <w:szCs w:val="18"/>
              </w:rPr>
              <w:t>70</w:t>
            </w:r>
          </w:p>
        </w:tc>
        <w:tc>
          <w:tcPr>
            <w:tcW w:w="1276" w:type="dxa"/>
            <w:vAlign w:val="center"/>
          </w:tcPr>
          <w:p>
            <w:pPr>
              <w:jc w:val="center"/>
              <w:rPr>
                <w:sz w:val="18"/>
                <w:szCs w:val="18"/>
              </w:rPr>
            </w:pPr>
            <w:r>
              <w:rPr>
                <w:sz w:val="18"/>
                <w:szCs w:val="18"/>
              </w:rPr>
              <w:t>60</w:t>
            </w:r>
            <w:r>
              <w:rPr>
                <w:rFonts w:hint="eastAsia"/>
                <w:sz w:val="18"/>
                <w:szCs w:val="18"/>
              </w:rPr>
              <w:t>（</w:t>
            </w:r>
            <w:r>
              <w:rPr>
                <w:sz w:val="18"/>
                <w:szCs w:val="18"/>
              </w:rPr>
              <w:t>120</w:t>
            </w:r>
            <w:r>
              <w:rPr>
                <w:rFonts w:hint="eastAsia"/>
                <w:sz w:val="18"/>
                <w:szCs w:val="18"/>
              </w:rPr>
              <w:t>）</w:t>
            </w:r>
          </w:p>
        </w:tc>
        <w:tc>
          <w:tcPr>
            <w:tcW w:w="3002" w:type="dxa"/>
          </w:tcPr>
          <w:p>
            <w:pPr>
              <w:jc w:val="left"/>
              <w:rPr>
                <w:sz w:val="18"/>
                <w:szCs w:val="18"/>
              </w:rPr>
            </w:pPr>
            <w:r>
              <w:rPr>
                <w:rFonts w:hint="eastAsia"/>
                <w:sz w:val="18"/>
                <w:szCs w:val="18"/>
              </w:rPr>
              <w:t>原新建企业水平为现在的现有企业水平，只做羊绒针织与后整理的企业折系数</w:t>
            </w:r>
            <w:r>
              <w:rPr>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分梳绒</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p>
        </w:tc>
        <w:tc>
          <w:tcPr>
            <w:tcW w:w="1678" w:type="dxa"/>
            <w:vAlign w:val="center"/>
          </w:tcPr>
          <w:p>
            <w:pPr>
              <w:jc w:val="center"/>
              <w:rPr>
                <w:sz w:val="18"/>
                <w:szCs w:val="18"/>
              </w:rPr>
            </w:pPr>
            <w:r>
              <w:rPr>
                <w:sz w:val="18"/>
                <w:szCs w:val="18"/>
              </w:rPr>
              <w:t>/</w:t>
            </w:r>
          </w:p>
        </w:tc>
        <w:tc>
          <w:tcPr>
            <w:tcW w:w="1276" w:type="dxa"/>
            <w:vAlign w:val="center"/>
          </w:tcPr>
          <w:p>
            <w:pPr>
              <w:widowControl/>
              <w:jc w:val="center"/>
              <w:textAlignment w:val="center"/>
              <w:rPr>
                <w:sz w:val="18"/>
                <w:szCs w:val="18"/>
              </w:rPr>
            </w:pPr>
            <w:r>
              <w:rPr>
                <w:kern w:val="0"/>
                <w:sz w:val="18"/>
                <w:szCs w:val="18"/>
                <w:lang w:bidi="ar"/>
              </w:rPr>
              <w:t>28</w:t>
            </w:r>
          </w:p>
        </w:tc>
        <w:tc>
          <w:tcPr>
            <w:tcW w:w="3002" w:type="dxa"/>
          </w:tcPr>
          <w:p>
            <w:pPr>
              <w:rPr>
                <w:sz w:val="18"/>
                <w:szCs w:val="18"/>
              </w:rPr>
            </w:pPr>
            <w:r>
              <w:rPr>
                <w:rFonts w:hint="eastAsia"/>
                <w:sz w:val="18"/>
                <w:szCs w:val="18"/>
              </w:rPr>
              <w:t>原标准没有该项指标，新标准补充进去，包含洗绒和分梳流程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羊绒针织品</w:t>
            </w:r>
          </w:p>
        </w:tc>
        <w:tc>
          <w:tcPr>
            <w:tcW w:w="1221" w:type="dxa"/>
            <w:vAlign w:val="center"/>
          </w:tcPr>
          <w:p>
            <w:pPr>
              <w:jc w:val="center"/>
              <w:rPr>
                <w:rFonts w:ascii="宋体" w:hAnsi="宋体" w:cs="宋体"/>
                <w:sz w:val="18"/>
                <w:szCs w:val="18"/>
              </w:rPr>
            </w:pPr>
            <w:r>
              <w:rPr>
                <w:sz w:val="18"/>
                <w:szCs w:val="18"/>
              </w:rPr>
              <w:t>m</w:t>
            </w:r>
            <w:r>
              <w:rPr>
                <w:sz w:val="18"/>
                <w:szCs w:val="18"/>
                <w:vertAlign w:val="superscript"/>
              </w:rPr>
              <w:t>3</w:t>
            </w:r>
            <w:r>
              <w:rPr>
                <w:sz w:val="18"/>
                <w:szCs w:val="18"/>
              </w:rPr>
              <w:t>/t</w:t>
            </w:r>
          </w:p>
        </w:tc>
        <w:tc>
          <w:tcPr>
            <w:tcW w:w="1678" w:type="dxa"/>
            <w:vAlign w:val="center"/>
          </w:tcPr>
          <w:p>
            <w:pPr>
              <w:jc w:val="center"/>
              <w:rPr>
                <w:sz w:val="18"/>
                <w:szCs w:val="18"/>
              </w:rPr>
            </w:pPr>
            <w:r>
              <w:rPr>
                <w:sz w:val="18"/>
                <w:szCs w:val="18"/>
              </w:rPr>
              <w:t>350</w:t>
            </w:r>
          </w:p>
        </w:tc>
        <w:tc>
          <w:tcPr>
            <w:tcW w:w="1276" w:type="dxa"/>
            <w:vAlign w:val="center"/>
          </w:tcPr>
          <w:p>
            <w:pPr>
              <w:widowControl/>
              <w:jc w:val="center"/>
              <w:textAlignment w:val="center"/>
              <w:rPr>
                <w:sz w:val="18"/>
                <w:szCs w:val="18"/>
              </w:rPr>
            </w:pPr>
            <w:r>
              <w:rPr>
                <w:kern w:val="0"/>
                <w:sz w:val="18"/>
                <w:szCs w:val="18"/>
                <w:lang w:bidi="ar"/>
              </w:rPr>
              <w:t>260</w:t>
            </w:r>
          </w:p>
        </w:tc>
        <w:tc>
          <w:tcPr>
            <w:tcW w:w="3002" w:type="dxa"/>
            <w:vAlign w:val="center"/>
          </w:tcPr>
          <w:p>
            <w:pPr>
              <w:jc w:val="left"/>
              <w:rPr>
                <w:sz w:val="18"/>
                <w:szCs w:val="18"/>
              </w:rPr>
            </w:pPr>
            <w:r>
              <w:rPr>
                <w:rFonts w:hint="eastAsia"/>
                <w:sz w:val="18"/>
                <w:szCs w:val="18"/>
              </w:rPr>
              <w:t>包括羊绒针织产品全流程的用水，经调研与讨论，不再细分精梳与粗梳羊绒针织品</w:t>
            </w:r>
          </w:p>
        </w:tc>
      </w:tr>
    </w:tbl>
    <w:p>
      <w:pPr>
        <w:spacing w:line="360" w:lineRule="auto"/>
        <w:ind w:firstLine="420" w:firstLineChars="200"/>
        <w:jc w:val="center"/>
        <w:rPr>
          <w:rFonts w:ascii="宋体" w:hAnsi="宋体" w:cs="宋体"/>
          <w:color w:val="FF0000"/>
        </w:rPr>
      </w:pPr>
      <w:bookmarkStart w:id="63" w:name="_Hlk120653085"/>
    </w:p>
    <w:p>
      <w:pPr>
        <w:spacing w:line="360" w:lineRule="auto"/>
        <w:outlineLvl w:val="0"/>
        <w:rPr>
          <w:rFonts w:ascii="宋体" w:hAnsi="宋体"/>
        </w:rPr>
      </w:pPr>
      <w:bookmarkStart w:id="64" w:name="_Toc30777"/>
      <w:r>
        <w:rPr>
          <w:rFonts w:hint="eastAsia" w:ascii="宋体" w:hAnsi="宋体"/>
        </w:rPr>
        <w:t>2</w:t>
      </w:r>
      <w:r>
        <w:rPr>
          <w:rFonts w:ascii="宋体" w:hAnsi="宋体"/>
        </w:rPr>
        <w:t>.</w:t>
      </w:r>
      <w:r>
        <w:rPr>
          <w:rFonts w:hint="eastAsia" w:ascii="宋体" w:hAnsi="宋体"/>
        </w:rPr>
        <w:t>其他指标</w:t>
      </w:r>
      <w:bookmarkEnd w:id="64"/>
    </w:p>
    <w:p>
      <w:pPr>
        <w:spacing w:line="360" w:lineRule="auto"/>
        <w:ind w:firstLine="420" w:firstLineChars="200"/>
        <w:rPr>
          <w:rFonts w:ascii="宋体" w:hAnsi="宋体"/>
        </w:rPr>
      </w:pPr>
      <w:r>
        <w:rPr>
          <w:rFonts w:hint="eastAsia" w:ascii="宋体" w:hAnsi="宋体"/>
        </w:rPr>
        <w:t>重复利用指标包括水重复利用率、间接冷却水循环率、蒸汽冷凝水回用率。</w:t>
      </w:r>
    </w:p>
    <w:p>
      <w:pPr>
        <w:spacing w:line="360" w:lineRule="auto"/>
        <w:ind w:firstLine="420" w:firstLineChars="200"/>
        <w:rPr>
          <w:rFonts w:ascii="宋体" w:hAnsi="宋体"/>
        </w:rPr>
      </w:pPr>
      <w:r>
        <w:rPr>
          <w:rFonts w:hint="eastAsia" w:ascii="宋体" w:hAnsi="宋体"/>
        </w:rPr>
        <w:t>重复利用率指在一定计量时间内，生产过程中使用的重复利用水量与用水量的百分比。</w:t>
      </w:r>
    </w:p>
    <w:p>
      <w:pPr>
        <w:spacing w:line="360" w:lineRule="auto"/>
        <w:ind w:firstLine="420" w:firstLineChars="200"/>
        <w:rPr>
          <w:rFonts w:ascii="宋体" w:hAnsi="宋体"/>
        </w:rPr>
      </w:pPr>
      <w:r>
        <w:rPr>
          <w:rFonts w:hint="eastAsia" w:ascii="宋体" w:hAnsi="宋体"/>
        </w:rPr>
        <w:t>重复利用水量，指在确定的用水单元或系统内，使用的所有未经处理和处理后重复使用的水量的总和，即循环水量和串联水量的总和。</w:t>
      </w:r>
    </w:p>
    <w:p>
      <w:pPr>
        <w:spacing w:line="360" w:lineRule="auto"/>
        <w:ind w:firstLine="420" w:firstLineChars="200"/>
        <w:rPr>
          <w:rFonts w:ascii="宋体" w:hAnsi="宋体"/>
        </w:rPr>
      </w:pPr>
      <w:r>
        <w:rPr>
          <w:rFonts w:hint="eastAsia" w:ascii="宋体" w:hAnsi="宋体"/>
        </w:rPr>
        <w:t>公式：</w:t>
      </w:r>
    </w:p>
    <w:p>
      <w:pPr>
        <w:spacing w:line="360" w:lineRule="auto"/>
        <w:ind w:firstLine="420" w:firstLineChars="200"/>
        <w:rPr>
          <w:rFonts w:ascii="宋体" w:hAnsi="宋体"/>
        </w:rPr>
      </w:pPr>
      <w:r>
        <w:rPr>
          <w:rFonts w:ascii="宋体" w:hAnsi="宋体"/>
        </w:rPr>
        <w:t>重复利用率按式计算：</w:t>
      </w:r>
    </w:p>
    <w:p>
      <w:pPr>
        <w:pStyle w:val="38"/>
        <w:spacing w:after="156" w:afterLines="50"/>
        <w:ind w:firstLine="560"/>
        <w:jc w:val="center"/>
        <w:rPr>
          <w:rFonts w:ascii="Times New Roman" w:hAnsi="Times New Roman" w:eastAsia="仿宋"/>
          <w:sz w:val="28"/>
          <w:szCs w:val="28"/>
        </w:rPr>
      </w:pPr>
      <w:r>
        <w:rPr>
          <w:rFonts w:ascii="Times New Roman" w:hAnsi="Times New Roman" w:eastAsia="仿宋"/>
          <w:sz w:val="28"/>
          <w:szCs w:val="28"/>
        </w:rPr>
        <w:t xml:space="preserve">   </w:t>
      </w:r>
      <w:r>
        <w:drawing>
          <wp:inline distT="0" distB="0" distL="0" distR="0">
            <wp:extent cx="1089660" cy="441960"/>
            <wp:effectExtent l="0" t="0" r="0" b="0"/>
            <wp:docPr id="5899023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902325"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089660" cy="441960"/>
                    </a:xfrm>
                    <a:prstGeom prst="rect">
                      <a:avLst/>
                    </a:prstGeom>
                    <a:noFill/>
                    <a:ln>
                      <a:noFill/>
                    </a:ln>
                  </pic:spPr>
                </pic:pic>
              </a:graphicData>
            </a:graphic>
          </wp:inline>
        </w:drawing>
      </w:r>
    </w:p>
    <w:p>
      <w:pPr>
        <w:spacing w:line="360" w:lineRule="auto"/>
        <w:ind w:firstLine="420" w:firstLineChars="200"/>
        <w:rPr>
          <w:rFonts w:ascii="宋体" w:hAnsi="宋体"/>
        </w:rPr>
      </w:pPr>
      <w:r>
        <w:rPr>
          <w:rFonts w:ascii="宋体" w:hAnsi="宋体"/>
        </w:rPr>
        <w:t xml:space="preserve">式中： </w:t>
      </w:r>
    </w:p>
    <w:p>
      <w:pPr>
        <w:spacing w:line="360" w:lineRule="auto"/>
        <w:ind w:firstLine="420" w:firstLineChars="200"/>
        <w:rPr>
          <w:rFonts w:ascii="宋体" w:hAnsi="宋体"/>
        </w:rPr>
      </w:pPr>
      <w:r>
        <w:rPr>
          <w:rFonts w:ascii="宋体" w:hAnsi="宋体"/>
        </w:rPr>
        <w:t>R ——重复利用率，％；</w:t>
      </w:r>
    </w:p>
    <w:p>
      <w:pPr>
        <w:spacing w:line="360" w:lineRule="auto"/>
        <w:ind w:firstLine="420" w:firstLineChars="200"/>
        <w:rPr>
          <w:rFonts w:ascii="宋体" w:hAnsi="宋体"/>
        </w:rPr>
      </w:pPr>
      <w:r>
        <w:rPr>
          <w:rFonts w:ascii="宋体" w:hAnsi="宋体"/>
        </w:rPr>
        <w:t>V</w:t>
      </w:r>
      <w:r>
        <w:rPr>
          <w:rFonts w:ascii="宋体" w:hAnsi="宋体"/>
          <w:vertAlign w:val="subscript"/>
        </w:rPr>
        <w:t>r</w:t>
      </w:r>
      <w:r>
        <w:rPr>
          <w:rFonts w:ascii="宋体" w:hAnsi="宋体"/>
        </w:rPr>
        <w:t xml:space="preserve"> ——在一定的计量时间内，企业的重复利用水量，单位为立方米（m</w:t>
      </w:r>
      <w:r>
        <w:rPr>
          <w:rFonts w:ascii="宋体" w:hAnsi="宋体"/>
          <w:vertAlign w:val="superscript"/>
        </w:rPr>
        <w:t>3</w:t>
      </w:r>
      <w:r>
        <w:rPr>
          <w:rFonts w:ascii="宋体" w:hAnsi="宋体"/>
        </w:rPr>
        <w:t>）；</w:t>
      </w:r>
    </w:p>
    <w:p>
      <w:pPr>
        <w:spacing w:line="360" w:lineRule="auto"/>
        <w:ind w:firstLine="420" w:firstLineChars="200"/>
        <w:rPr>
          <w:rFonts w:ascii="宋体" w:hAnsi="宋体"/>
        </w:rPr>
      </w:pPr>
      <w:r>
        <w:rPr>
          <w:rFonts w:ascii="宋体" w:hAnsi="宋体"/>
        </w:rPr>
        <w:t>V</w:t>
      </w:r>
      <w:r>
        <w:rPr>
          <w:rFonts w:ascii="宋体" w:hAnsi="宋体"/>
          <w:vertAlign w:val="subscript"/>
        </w:rPr>
        <w:t>i</w:t>
      </w:r>
      <w:r>
        <w:rPr>
          <w:rFonts w:ascii="宋体" w:hAnsi="宋体"/>
        </w:rPr>
        <w:t xml:space="preserve"> ——在一定的计量时间内，企业的取水量，单位为立方米（m</w:t>
      </w:r>
      <w:r>
        <w:rPr>
          <w:rFonts w:ascii="宋体" w:hAnsi="宋体"/>
          <w:vertAlign w:val="superscript"/>
        </w:rPr>
        <w:t>3</w:t>
      </w:r>
      <w:r>
        <w:rPr>
          <w:rFonts w:ascii="宋体" w:hAnsi="宋体"/>
        </w:rPr>
        <w:t>）。</w:t>
      </w:r>
    </w:p>
    <w:p>
      <w:pPr>
        <w:spacing w:line="360" w:lineRule="auto"/>
        <w:ind w:firstLine="420" w:firstLineChars="200"/>
        <w:rPr>
          <w:rFonts w:ascii="宋体" w:hAnsi="宋体"/>
        </w:rPr>
      </w:pPr>
      <w:r>
        <w:rPr>
          <w:rFonts w:hint="eastAsia" w:ascii="宋体" w:hAnsi="宋体"/>
        </w:rPr>
        <w:t>间接冷却水循环率指在一定计量时间内，间接冷却水循环量与间接冷却水用量的百分比。</w:t>
      </w:r>
    </w:p>
    <w:p>
      <w:pPr>
        <w:spacing w:line="360" w:lineRule="auto"/>
        <w:ind w:firstLine="420" w:firstLineChars="200"/>
        <w:rPr>
          <w:rFonts w:ascii="宋体" w:hAnsi="宋体"/>
        </w:rPr>
      </w:pPr>
      <w:r>
        <w:rPr>
          <w:rFonts w:hint="eastAsia" w:ascii="宋体" w:hAnsi="宋体"/>
        </w:rPr>
        <w:t>间接冷却水，指通过热交换设备与被冷却料隔开的冷却水。</w:t>
      </w:r>
    </w:p>
    <w:p>
      <w:pPr>
        <w:spacing w:line="360" w:lineRule="auto"/>
        <w:ind w:firstLine="420" w:firstLineChars="200"/>
        <w:rPr>
          <w:rFonts w:ascii="宋体" w:hAnsi="宋体"/>
        </w:rPr>
      </w:pPr>
      <w:r>
        <w:rPr>
          <w:rFonts w:hint="eastAsia" w:ascii="宋体" w:hAnsi="宋体"/>
        </w:rPr>
        <w:t>间接冷却循环水系统指冷却水通过热交换设备与被冷却物料隔开的循环冷却水系统。</w:t>
      </w:r>
    </w:p>
    <w:p>
      <w:pPr>
        <w:spacing w:line="360" w:lineRule="auto"/>
        <w:ind w:firstLine="420" w:firstLineChars="200"/>
        <w:rPr>
          <w:rFonts w:ascii="宋体" w:hAnsi="宋体"/>
        </w:rPr>
      </w:pPr>
      <w:r>
        <w:rPr>
          <w:rFonts w:hint="eastAsia" w:ascii="宋体" w:hAnsi="宋体"/>
        </w:rPr>
        <w:t>间接冷却水循环率按式计算：</w:t>
      </w:r>
    </w:p>
    <w:p>
      <w:pPr>
        <w:spacing w:line="360" w:lineRule="auto"/>
        <w:ind w:firstLine="420" w:firstLineChars="200"/>
        <w:jc w:val="center"/>
        <w:rPr>
          <w:rFonts w:eastAsia="仿宋"/>
          <w:sz w:val="28"/>
          <w:szCs w:val="28"/>
        </w:rPr>
      </w:pPr>
      <w:r>
        <w:drawing>
          <wp:inline distT="0" distB="0" distL="0" distR="0">
            <wp:extent cx="1203960" cy="449580"/>
            <wp:effectExtent l="0" t="0" r="0" b="7620"/>
            <wp:docPr id="10144098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409867"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3960" cy="449580"/>
                    </a:xfrm>
                    <a:prstGeom prst="rect">
                      <a:avLst/>
                    </a:prstGeom>
                    <a:noFill/>
                    <a:ln>
                      <a:noFill/>
                    </a:ln>
                  </pic:spPr>
                </pic:pic>
              </a:graphicData>
            </a:graphic>
          </wp:inline>
        </w:drawing>
      </w:r>
    </w:p>
    <w:p>
      <w:pPr>
        <w:spacing w:line="360" w:lineRule="auto"/>
        <w:ind w:firstLine="420" w:firstLineChars="200"/>
        <w:rPr>
          <w:rFonts w:ascii="宋体" w:hAnsi="宋体"/>
        </w:rPr>
      </w:pPr>
      <w:r>
        <w:rPr>
          <w:rFonts w:hint="eastAsia" w:ascii="宋体" w:hAnsi="宋体"/>
        </w:rPr>
        <w:t>式中：</w:t>
      </w:r>
    </w:p>
    <w:p>
      <w:pPr>
        <w:spacing w:line="360" w:lineRule="auto"/>
        <w:ind w:firstLine="420" w:firstLineChars="200"/>
        <w:rPr>
          <w:rFonts w:ascii="宋体" w:hAnsi="宋体"/>
        </w:rPr>
      </w:pPr>
      <w:r>
        <w:rPr>
          <w:rFonts w:hint="eastAsia" w:ascii="宋体" w:hAnsi="宋体"/>
        </w:rPr>
        <w:t>R</w:t>
      </w:r>
      <w:r>
        <w:rPr>
          <w:rFonts w:ascii="宋体" w:hAnsi="宋体"/>
          <w:vertAlign w:val="subscript"/>
        </w:rPr>
        <w:t>c</w:t>
      </w:r>
      <w:r>
        <w:rPr>
          <w:rFonts w:ascii="宋体" w:hAnsi="宋体"/>
        </w:rPr>
        <w:t xml:space="preserve"> </w:t>
      </w:r>
      <w:r>
        <w:rPr>
          <w:rFonts w:hint="eastAsia" w:ascii="宋体" w:hAnsi="宋体"/>
        </w:rPr>
        <w:t>——间接冷却水循环率，％；</w:t>
      </w:r>
    </w:p>
    <w:p>
      <w:pPr>
        <w:spacing w:line="360" w:lineRule="auto"/>
        <w:ind w:firstLine="420" w:firstLineChars="200"/>
        <w:rPr>
          <w:rFonts w:ascii="宋体" w:hAnsi="宋体"/>
        </w:rPr>
      </w:pPr>
      <w:r>
        <w:rPr>
          <w:rFonts w:ascii="宋体" w:hAnsi="宋体"/>
        </w:rPr>
        <w:t>V</w:t>
      </w:r>
      <w:r>
        <w:rPr>
          <w:rFonts w:ascii="宋体" w:hAnsi="宋体"/>
          <w:vertAlign w:val="subscript"/>
        </w:rPr>
        <w:t>cr</w:t>
      </w:r>
      <w:r>
        <w:rPr>
          <w:rFonts w:ascii="宋体" w:hAnsi="宋体"/>
        </w:rPr>
        <w:t xml:space="preserve"> </w:t>
      </w:r>
      <w:r>
        <w:rPr>
          <w:rFonts w:hint="eastAsia" w:ascii="宋体" w:hAnsi="宋体"/>
        </w:rPr>
        <w:t>——间接冷却水循环量，单位为立方米每小时（</w:t>
      </w:r>
      <w:r>
        <w:rPr>
          <w:rFonts w:ascii="宋体" w:hAnsi="宋体"/>
        </w:rPr>
        <w:t>m</w:t>
      </w:r>
      <w:r>
        <w:rPr>
          <w:rFonts w:ascii="宋体" w:hAnsi="宋体"/>
          <w:vertAlign w:val="superscript"/>
        </w:rPr>
        <w:t>3</w:t>
      </w:r>
      <w:r>
        <w:rPr>
          <w:rFonts w:hint="eastAsia" w:ascii="宋体" w:hAnsi="宋体"/>
        </w:rPr>
        <w:t>/h）；</w:t>
      </w:r>
    </w:p>
    <w:p>
      <w:pPr>
        <w:spacing w:line="360" w:lineRule="auto"/>
        <w:ind w:firstLine="420" w:firstLineChars="200"/>
        <w:rPr>
          <w:rFonts w:ascii="宋体" w:hAnsi="宋体"/>
        </w:rPr>
      </w:pPr>
      <w:r>
        <w:rPr>
          <w:rFonts w:ascii="宋体" w:hAnsi="宋体"/>
        </w:rPr>
        <w:t>V</w:t>
      </w:r>
      <w:r>
        <w:rPr>
          <w:rFonts w:ascii="宋体" w:hAnsi="宋体"/>
          <w:vertAlign w:val="subscript"/>
        </w:rPr>
        <w:t>cf</w:t>
      </w:r>
      <w:r>
        <w:rPr>
          <w:rFonts w:ascii="宋体" w:hAnsi="宋体"/>
        </w:rPr>
        <w:t xml:space="preserve"> </w:t>
      </w:r>
      <w:r>
        <w:rPr>
          <w:rFonts w:hint="eastAsia" w:ascii="宋体" w:hAnsi="宋体"/>
        </w:rPr>
        <w:t>——间接冷却水循环系统补充水量，单位为立方米每小时（</w:t>
      </w:r>
      <w:r>
        <w:rPr>
          <w:rFonts w:ascii="宋体" w:hAnsi="宋体"/>
        </w:rPr>
        <w:t>m</w:t>
      </w:r>
      <w:r>
        <w:rPr>
          <w:rFonts w:ascii="宋体" w:hAnsi="宋体"/>
          <w:vertAlign w:val="superscript"/>
        </w:rPr>
        <w:t>3</w:t>
      </w:r>
      <w:r>
        <w:rPr>
          <w:rFonts w:hint="eastAsia" w:ascii="宋体" w:hAnsi="宋体"/>
        </w:rPr>
        <w:t>/h）。</w:t>
      </w:r>
    </w:p>
    <w:p>
      <w:pPr>
        <w:spacing w:line="360" w:lineRule="auto"/>
        <w:ind w:firstLine="420" w:firstLineChars="200"/>
        <w:rPr>
          <w:rFonts w:ascii="宋体" w:hAnsi="宋体"/>
        </w:rPr>
      </w:pPr>
      <w:r>
        <w:rPr>
          <w:rFonts w:hint="eastAsia" w:ascii="宋体" w:hAnsi="宋体"/>
        </w:rPr>
        <w:t>蒸汽冷凝水回用率，指在一定计量时间内，蒸汽冷凝水回用量占锅炉蒸汽发汽量的百分比。</w:t>
      </w:r>
    </w:p>
    <w:p>
      <w:pPr>
        <w:spacing w:line="360" w:lineRule="auto"/>
        <w:ind w:firstLine="420" w:firstLineChars="200"/>
        <w:jc w:val="left"/>
        <w:rPr>
          <w:rFonts w:eastAsia="仿宋"/>
          <w:sz w:val="28"/>
          <w:szCs w:val="28"/>
        </w:rPr>
      </w:pPr>
      <w:r>
        <w:rPr>
          <w:rFonts w:hint="eastAsia" w:ascii="宋体" w:hAnsi="宋体"/>
        </w:rPr>
        <w:t>冷凝水回用量，指蒸汽经使用（例如用于汽轮机等设备做功、加热、供热、汽提分离等）冷凝后，直接或经处理后回用于锅炉和其他系统的冷凝水量。蒸汽冷凝水回用率按式计算：</w:t>
      </w:r>
      <w:r>
        <w:rPr>
          <w:rFonts w:eastAsia="仿宋"/>
          <w:sz w:val="28"/>
          <w:szCs w:val="28"/>
        </w:rPr>
        <w:t xml:space="preserve">                        </w:t>
      </w:r>
    </w:p>
    <w:p>
      <w:pPr>
        <w:spacing w:line="360" w:lineRule="auto"/>
        <w:ind w:firstLine="560" w:firstLineChars="200"/>
        <w:jc w:val="center"/>
        <w:rPr>
          <w:rFonts w:eastAsia="仿宋"/>
          <w:sz w:val="28"/>
          <w:szCs w:val="28"/>
        </w:rPr>
      </w:pPr>
      <w:r>
        <w:rPr>
          <w:rFonts w:eastAsia="仿宋"/>
          <w:sz w:val="28"/>
          <w:szCs w:val="28"/>
        </w:rPr>
        <w:t xml:space="preserve"> </w:t>
      </w:r>
      <w:r>
        <w:drawing>
          <wp:inline distT="0" distB="0" distL="0" distR="0">
            <wp:extent cx="1165860" cy="403860"/>
            <wp:effectExtent l="0" t="0" r="0" b="0"/>
            <wp:docPr id="8835310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31059"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165860" cy="403860"/>
                    </a:xfrm>
                    <a:prstGeom prst="rect">
                      <a:avLst/>
                    </a:prstGeom>
                    <a:noFill/>
                    <a:ln>
                      <a:noFill/>
                    </a:ln>
                  </pic:spPr>
                </pic:pic>
              </a:graphicData>
            </a:graphic>
          </wp:inline>
        </w:drawing>
      </w:r>
    </w:p>
    <w:p>
      <w:pPr>
        <w:spacing w:line="360" w:lineRule="auto"/>
        <w:ind w:firstLine="420" w:firstLineChars="200"/>
        <w:rPr>
          <w:rFonts w:ascii="宋体" w:hAnsi="宋体"/>
        </w:rPr>
      </w:pPr>
      <w:r>
        <w:rPr>
          <w:rFonts w:hint="eastAsia" w:ascii="宋体" w:hAnsi="宋体"/>
        </w:rPr>
        <w:t>式中：</w:t>
      </w:r>
    </w:p>
    <w:p>
      <w:pPr>
        <w:spacing w:line="360" w:lineRule="auto"/>
        <w:ind w:firstLine="420" w:firstLineChars="200"/>
        <w:rPr>
          <w:rFonts w:ascii="宋体" w:hAnsi="宋体"/>
        </w:rPr>
      </w:pPr>
      <w:r>
        <w:rPr>
          <w:rFonts w:hint="eastAsia" w:ascii="宋体" w:hAnsi="宋体"/>
        </w:rPr>
        <w:t>R</w:t>
      </w:r>
      <w:r>
        <w:rPr>
          <w:rFonts w:ascii="宋体" w:hAnsi="宋体"/>
          <w:vertAlign w:val="subscript"/>
        </w:rPr>
        <w:t>b</w:t>
      </w:r>
      <w:r>
        <w:rPr>
          <w:rFonts w:ascii="宋体" w:hAnsi="宋体"/>
        </w:rPr>
        <w:t xml:space="preserve"> </w:t>
      </w:r>
      <w:r>
        <w:rPr>
          <w:rFonts w:hint="eastAsia" w:ascii="宋体" w:hAnsi="宋体"/>
        </w:rPr>
        <w:t>——蒸汽冷凝水回用率，％；</w:t>
      </w:r>
    </w:p>
    <w:p>
      <w:pPr>
        <w:spacing w:line="360" w:lineRule="auto"/>
        <w:ind w:firstLine="420" w:firstLineChars="200"/>
        <w:rPr>
          <w:rFonts w:ascii="宋体" w:hAnsi="宋体"/>
        </w:rPr>
      </w:pPr>
      <w:r>
        <w:rPr>
          <w:rFonts w:ascii="宋体" w:hAnsi="宋体"/>
        </w:rPr>
        <w:t>V</w:t>
      </w:r>
      <w:r>
        <w:rPr>
          <w:rFonts w:ascii="宋体" w:hAnsi="宋体"/>
          <w:vertAlign w:val="subscript"/>
        </w:rPr>
        <w:t>br</w:t>
      </w:r>
      <w:r>
        <w:rPr>
          <w:rFonts w:ascii="宋体" w:hAnsi="宋体"/>
        </w:rPr>
        <w:t xml:space="preserve"> </w:t>
      </w:r>
      <w:r>
        <w:rPr>
          <w:rFonts w:hint="eastAsia" w:ascii="宋体" w:hAnsi="宋体"/>
        </w:rPr>
        <w:t>——蒸汽冷凝水回用量，单位为立方米每小时（</w:t>
      </w:r>
      <w:r>
        <w:rPr>
          <w:rFonts w:ascii="宋体" w:hAnsi="宋体"/>
        </w:rPr>
        <w:t>m</w:t>
      </w:r>
      <w:r>
        <w:rPr>
          <w:rFonts w:ascii="宋体" w:hAnsi="宋体"/>
          <w:vertAlign w:val="superscript"/>
        </w:rPr>
        <w:t>3</w:t>
      </w:r>
      <w:r>
        <w:rPr>
          <w:rFonts w:hint="eastAsia" w:ascii="宋体" w:hAnsi="宋体"/>
        </w:rPr>
        <w:t>/h）；</w:t>
      </w:r>
    </w:p>
    <w:p>
      <w:pPr>
        <w:spacing w:line="360" w:lineRule="auto"/>
        <w:ind w:firstLine="420" w:firstLineChars="200"/>
        <w:rPr>
          <w:rFonts w:ascii="宋体" w:hAnsi="宋体"/>
        </w:rPr>
      </w:pPr>
      <w:r>
        <w:rPr>
          <w:rFonts w:ascii="宋体" w:hAnsi="宋体"/>
        </w:rPr>
        <w:t xml:space="preserve">D </w:t>
      </w:r>
      <w:r>
        <w:rPr>
          <w:rFonts w:hint="eastAsia" w:ascii="宋体" w:hAnsi="宋体"/>
        </w:rPr>
        <w:t>——产汽设备的产汽量，单位为吨每小时（t</w:t>
      </w:r>
      <w:r>
        <w:rPr>
          <w:rFonts w:ascii="宋体" w:hAnsi="宋体"/>
        </w:rPr>
        <w:t>/h</w:t>
      </w:r>
      <w:r>
        <w:rPr>
          <w:rFonts w:hint="eastAsia" w:ascii="宋体" w:hAnsi="宋体"/>
        </w:rPr>
        <w:t>）；</w:t>
      </w:r>
    </w:p>
    <w:p>
      <w:pPr>
        <w:spacing w:line="360" w:lineRule="auto"/>
        <w:ind w:firstLine="420" w:firstLineChars="200"/>
        <w:rPr>
          <w:rFonts w:ascii="宋体" w:hAnsi="宋体"/>
        </w:rPr>
      </w:pPr>
      <w:r>
        <w:rPr>
          <w:rFonts w:hint="eastAsia" w:ascii="宋体" w:hAnsi="宋体"/>
        </w:rPr>
        <w:t>ρ——蒸汽体积质量，单位为吨每立方米（t</w:t>
      </w:r>
      <w:r>
        <w:rPr>
          <w:rFonts w:ascii="宋体" w:hAnsi="宋体"/>
        </w:rPr>
        <w:t>/ m</w:t>
      </w:r>
      <w:r>
        <w:rPr>
          <w:rFonts w:ascii="宋体" w:hAnsi="宋体"/>
          <w:vertAlign w:val="superscript"/>
        </w:rPr>
        <w:t>3</w:t>
      </w:r>
      <w:r>
        <w:rPr>
          <w:rFonts w:hint="eastAsia" w:ascii="宋体" w:hAnsi="宋体"/>
        </w:rPr>
        <w:t>）。</w:t>
      </w:r>
    </w:p>
    <w:p>
      <w:pPr>
        <w:spacing w:line="360" w:lineRule="auto"/>
        <w:ind w:firstLine="420" w:firstLineChars="200"/>
        <w:rPr>
          <w:rFonts w:ascii="宋体" w:hAnsi="宋体"/>
        </w:rPr>
      </w:pPr>
      <w:r>
        <w:rPr>
          <w:rFonts w:hint="eastAsia" w:ascii="宋体" w:hAnsi="宋体"/>
        </w:rPr>
        <w:t>注：</w:t>
      </w:r>
      <w:r>
        <w:rPr>
          <w:rFonts w:ascii="宋体" w:hAnsi="宋体"/>
        </w:rPr>
        <w:t>V</w:t>
      </w:r>
      <w:r>
        <w:rPr>
          <w:rFonts w:ascii="宋体" w:hAnsi="宋体"/>
          <w:vertAlign w:val="subscript"/>
        </w:rPr>
        <w:t>br</w:t>
      </w:r>
      <w:r>
        <w:rPr>
          <w:rFonts w:hint="eastAsia" w:ascii="宋体" w:hAnsi="宋体"/>
        </w:rPr>
        <w:t>、ρ均指在标准状态下。</w:t>
      </w:r>
    </w:p>
    <w:p>
      <w:pPr>
        <w:spacing w:line="360" w:lineRule="auto"/>
        <w:ind w:firstLine="420" w:firstLineChars="200"/>
        <w:rPr>
          <w:rFonts w:ascii="宋体" w:hAnsi="宋体"/>
        </w:rPr>
      </w:pPr>
      <w:r>
        <w:rPr>
          <w:rFonts w:hint="eastAsia" w:ascii="宋体" w:hAnsi="宋体"/>
        </w:rPr>
        <w:t>用水综合漏失率，指漏失水量与新水量的百分比。用水综合漏失率按式计算：</w:t>
      </w:r>
    </w:p>
    <w:p>
      <w:pPr>
        <w:spacing w:line="360" w:lineRule="auto"/>
        <w:ind w:firstLine="560" w:firstLineChars="200"/>
        <w:jc w:val="center"/>
        <w:rPr>
          <w:rFonts w:eastAsia="仿宋"/>
          <w:sz w:val="28"/>
          <w:szCs w:val="28"/>
        </w:rPr>
      </w:pPr>
      <w:r>
        <w:rPr>
          <w:rFonts w:eastAsia="仿宋"/>
          <w:sz w:val="28"/>
          <w:szCs w:val="28"/>
        </w:rPr>
        <w:t xml:space="preserve"> </w:t>
      </w:r>
      <w:r>
        <w:drawing>
          <wp:inline distT="0" distB="0" distL="0" distR="0">
            <wp:extent cx="876300" cy="449580"/>
            <wp:effectExtent l="0" t="0" r="0" b="7620"/>
            <wp:docPr id="13028894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89496"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76300" cy="449580"/>
                    </a:xfrm>
                    <a:prstGeom prst="rect">
                      <a:avLst/>
                    </a:prstGeom>
                    <a:noFill/>
                    <a:ln>
                      <a:noFill/>
                    </a:ln>
                  </pic:spPr>
                </pic:pic>
              </a:graphicData>
            </a:graphic>
          </wp:inline>
        </w:drawing>
      </w:r>
    </w:p>
    <w:p>
      <w:pPr>
        <w:spacing w:line="360" w:lineRule="auto"/>
        <w:ind w:firstLine="420" w:firstLineChars="200"/>
        <w:jc w:val="left"/>
        <w:rPr>
          <w:rFonts w:ascii="宋体" w:hAnsi="宋体"/>
        </w:rPr>
      </w:pPr>
      <w:r>
        <w:rPr>
          <w:rFonts w:hint="eastAsia" w:ascii="宋体" w:hAnsi="宋体"/>
        </w:rPr>
        <w:t>式中：</w:t>
      </w:r>
    </w:p>
    <w:p>
      <w:pPr>
        <w:spacing w:line="360" w:lineRule="auto"/>
        <w:ind w:firstLine="420" w:firstLineChars="200"/>
        <w:jc w:val="left"/>
        <w:rPr>
          <w:rFonts w:ascii="宋体" w:hAnsi="宋体"/>
        </w:rPr>
      </w:pPr>
      <w:r>
        <w:rPr>
          <w:rFonts w:ascii="宋体" w:hAnsi="宋体"/>
        </w:rPr>
        <w:t>K</w:t>
      </w:r>
      <w:r>
        <w:rPr>
          <w:rFonts w:ascii="宋体" w:hAnsi="宋体"/>
          <w:vertAlign w:val="subscript"/>
        </w:rPr>
        <w:t>l</w:t>
      </w:r>
      <w:r>
        <w:rPr>
          <w:rFonts w:hint="eastAsia" w:ascii="宋体" w:hAnsi="宋体"/>
        </w:rPr>
        <w:t xml:space="preserve"> ——用水综合漏失率，％；</w:t>
      </w:r>
    </w:p>
    <w:p>
      <w:pPr>
        <w:spacing w:line="360" w:lineRule="auto"/>
        <w:ind w:firstLine="420" w:firstLineChars="200"/>
        <w:jc w:val="left"/>
        <w:rPr>
          <w:rFonts w:ascii="宋体" w:hAnsi="宋体"/>
        </w:rPr>
      </w:pPr>
      <w:r>
        <w:rPr>
          <w:rFonts w:ascii="宋体" w:hAnsi="宋体"/>
        </w:rPr>
        <w:t>V</w:t>
      </w:r>
      <w:r>
        <w:rPr>
          <w:rFonts w:ascii="宋体" w:hAnsi="宋体"/>
          <w:vertAlign w:val="subscript"/>
        </w:rPr>
        <w:t>l</w:t>
      </w:r>
      <w:r>
        <w:rPr>
          <w:rFonts w:hint="eastAsia" w:ascii="宋体" w:hAnsi="宋体"/>
        </w:rPr>
        <w:t>——在一定的计量时间内，企业的漏失水量，单位为立方米（</w:t>
      </w:r>
      <w:r>
        <w:rPr>
          <w:rFonts w:ascii="宋体" w:hAnsi="宋体"/>
        </w:rPr>
        <w:t>m</w:t>
      </w:r>
      <w:r>
        <w:rPr>
          <w:rFonts w:ascii="宋体" w:hAnsi="宋体"/>
          <w:vertAlign w:val="superscript"/>
        </w:rPr>
        <w:t>3</w:t>
      </w:r>
      <w:r>
        <w:rPr>
          <w:rFonts w:hint="eastAsia" w:ascii="宋体" w:hAnsi="宋体"/>
        </w:rPr>
        <w:t>）；</w:t>
      </w:r>
    </w:p>
    <w:p>
      <w:pPr>
        <w:spacing w:line="360" w:lineRule="auto"/>
        <w:ind w:firstLine="420" w:firstLineChars="200"/>
        <w:jc w:val="left"/>
        <w:rPr>
          <w:rFonts w:ascii="宋体" w:hAnsi="宋体"/>
        </w:rPr>
      </w:pPr>
      <w:r>
        <w:rPr>
          <w:rFonts w:ascii="宋体" w:hAnsi="宋体"/>
        </w:rPr>
        <w:t>V</w:t>
      </w:r>
      <w:r>
        <w:rPr>
          <w:rFonts w:ascii="宋体" w:hAnsi="宋体"/>
          <w:vertAlign w:val="subscript"/>
        </w:rPr>
        <w:t>i</w:t>
      </w:r>
      <w:r>
        <w:rPr>
          <w:rFonts w:hint="eastAsia" w:ascii="宋体" w:hAnsi="宋体"/>
        </w:rPr>
        <w:t>——在一定的计量时间内，企业的取水量，单位为立方米（</w:t>
      </w:r>
      <w:r>
        <w:rPr>
          <w:rFonts w:ascii="宋体" w:hAnsi="宋体"/>
        </w:rPr>
        <w:t>m</w:t>
      </w:r>
      <w:r>
        <w:rPr>
          <w:rFonts w:ascii="宋体" w:hAnsi="宋体"/>
          <w:vertAlign w:val="superscript"/>
        </w:rPr>
        <w:t>3</w:t>
      </w:r>
      <w:r>
        <w:rPr>
          <w:rFonts w:hint="eastAsia" w:ascii="宋体" w:hAnsi="宋体"/>
        </w:rPr>
        <w:t>）。</w:t>
      </w:r>
    </w:p>
    <w:p>
      <w:pPr>
        <w:spacing w:line="360" w:lineRule="auto"/>
        <w:ind w:firstLine="420" w:firstLineChars="200"/>
        <w:jc w:val="left"/>
        <w:rPr>
          <w:rFonts w:ascii="宋体" w:hAnsi="宋体"/>
        </w:rPr>
      </w:pPr>
      <w:r>
        <w:rPr>
          <w:rFonts w:hint="eastAsia" w:ascii="宋体" w:hAnsi="宋体"/>
        </w:rPr>
        <w:t>水计量器具配备率，指水计量器具实际的安装配备数量与测量全部水量所需配备的水计量器具数量的百分比。</w:t>
      </w:r>
    </w:p>
    <w:p>
      <w:pPr>
        <w:spacing w:line="360" w:lineRule="auto"/>
        <w:ind w:firstLine="420" w:firstLineChars="200"/>
        <w:jc w:val="left"/>
        <w:rPr>
          <w:rFonts w:ascii="宋体" w:hAnsi="宋体"/>
        </w:rPr>
      </w:pPr>
      <w:r>
        <w:rPr>
          <w:rFonts w:hint="eastAsia" w:ascii="宋体" w:hAnsi="宋体"/>
        </w:rPr>
        <w:t>非常规水资源替代率。非常规水资源，指地表水和地下水之外的其他水资源，包括海水、苦咸水和再生水等。非常规水资源替代率按式计算：</w:t>
      </w:r>
    </w:p>
    <w:p>
      <w:pPr>
        <w:rPr>
          <w:rFonts w:eastAsia="仿宋"/>
          <w:sz w:val="28"/>
          <w:szCs w:val="28"/>
        </w:rPr>
      </w:pPr>
      <w:r>
        <w:rPr>
          <w:rFonts w:eastAsia="仿宋"/>
          <w:sz w:val="28"/>
          <w:szCs w:val="28"/>
        </w:rPr>
        <w:t xml:space="preserve">                        </w:t>
      </w:r>
      <w:r>
        <w:drawing>
          <wp:inline distT="0" distB="0" distL="0" distR="0">
            <wp:extent cx="1409700" cy="457200"/>
            <wp:effectExtent l="0" t="0" r="0" b="0"/>
            <wp:docPr id="115078133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781331"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09700" cy="457200"/>
                    </a:xfrm>
                    <a:prstGeom prst="rect">
                      <a:avLst/>
                    </a:prstGeom>
                    <a:noFill/>
                    <a:ln>
                      <a:noFill/>
                    </a:ln>
                  </pic:spPr>
                </pic:pic>
              </a:graphicData>
            </a:graphic>
          </wp:inline>
        </w:drawing>
      </w:r>
      <w:r>
        <w:rPr>
          <w:rFonts w:hint="eastAsia" w:eastAsia="仿宋"/>
          <w:sz w:val="28"/>
          <w:szCs w:val="28"/>
        </w:rPr>
        <w:t xml:space="preserve"> </w:t>
      </w:r>
    </w:p>
    <w:p>
      <w:pPr>
        <w:spacing w:line="360" w:lineRule="auto"/>
        <w:ind w:firstLine="420" w:firstLineChars="200"/>
        <w:jc w:val="left"/>
        <w:rPr>
          <w:rFonts w:ascii="宋体" w:hAnsi="宋体"/>
        </w:rPr>
      </w:pPr>
      <w:r>
        <w:rPr>
          <w:rFonts w:hint="eastAsia" w:ascii="宋体" w:hAnsi="宋体"/>
        </w:rPr>
        <w:t xml:space="preserve">式中： </w:t>
      </w:r>
    </w:p>
    <w:p>
      <w:pPr>
        <w:spacing w:line="360" w:lineRule="auto"/>
        <w:ind w:firstLine="420" w:firstLineChars="200"/>
        <w:jc w:val="left"/>
        <w:rPr>
          <w:rFonts w:ascii="宋体" w:hAnsi="宋体"/>
        </w:rPr>
      </w:pPr>
      <w:r>
        <w:rPr>
          <w:rFonts w:hint="eastAsia" w:ascii="宋体" w:hAnsi="宋体"/>
        </w:rPr>
        <w:t>Kh ——非常规水资源替代率，％；</w:t>
      </w:r>
    </w:p>
    <w:p>
      <w:pPr>
        <w:spacing w:line="360" w:lineRule="auto"/>
        <w:ind w:firstLine="420" w:firstLineChars="200"/>
        <w:jc w:val="left"/>
        <w:rPr>
          <w:rFonts w:ascii="宋体" w:hAnsi="宋体"/>
        </w:rPr>
      </w:pPr>
      <w:r>
        <w:rPr>
          <w:rFonts w:ascii="宋体" w:hAnsi="宋体"/>
        </w:rPr>
        <w:t>Vih</w:t>
      </w:r>
      <w:r>
        <w:rPr>
          <w:rFonts w:hint="eastAsia" w:ascii="宋体" w:hAnsi="宋体"/>
        </w:rPr>
        <w:t>——在一定的计量时间内，非常规水资源所替代的取水量，单位为立方米（</w:t>
      </w:r>
      <w:r>
        <w:rPr>
          <w:rFonts w:ascii="宋体" w:hAnsi="宋体"/>
        </w:rPr>
        <w:t>m</w:t>
      </w:r>
      <w:r>
        <w:rPr>
          <w:rFonts w:ascii="宋体" w:hAnsi="宋体"/>
          <w:vertAlign w:val="superscript"/>
        </w:rPr>
        <w:t>3</w:t>
      </w:r>
      <w:r>
        <w:rPr>
          <w:rFonts w:hint="eastAsia" w:ascii="宋体" w:hAnsi="宋体"/>
        </w:rPr>
        <w:t>）；</w:t>
      </w:r>
    </w:p>
    <w:p>
      <w:pPr>
        <w:spacing w:line="360" w:lineRule="auto"/>
        <w:ind w:firstLine="420" w:firstLineChars="200"/>
        <w:jc w:val="left"/>
        <w:rPr>
          <w:rFonts w:ascii="宋体" w:hAnsi="宋体"/>
        </w:rPr>
      </w:pPr>
      <w:r>
        <w:rPr>
          <w:rFonts w:ascii="宋体" w:hAnsi="宋体"/>
        </w:rPr>
        <w:t>Vi</w:t>
      </w:r>
      <w:r>
        <w:rPr>
          <w:rFonts w:hint="eastAsia" w:ascii="宋体" w:hAnsi="宋体"/>
        </w:rPr>
        <w:t>——在一定的计量时间内，企业的取水量，单位为立方米（</w:t>
      </w:r>
      <w:r>
        <w:rPr>
          <w:rFonts w:ascii="宋体" w:hAnsi="宋体"/>
        </w:rPr>
        <w:t>m</w:t>
      </w:r>
      <w:r>
        <w:rPr>
          <w:rFonts w:ascii="宋体" w:hAnsi="宋体"/>
          <w:vertAlign w:val="superscript"/>
        </w:rPr>
        <w:t>3</w:t>
      </w:r>
      <w:r>
        <w:rPr>
          <w:rFonts w:hint="eastAsia" w:ascii="宋体" w:hAnsi="宋体"/>
        </w:rPr>
        <w:t>）。</w:t>
      </w:r>
    </w:p>
    <w:p>
      <w:pPr>
        <w:pStyle w:val="2"/>
        <w:jc w:val="center"/>
        <w:outlineLvl w:val="1"/>
        <w:rPr>
          <w:rFonts w:hint="eastAsia" w:asciiTheme="minorEastAsia" w:hAnsiTheme="minorEastAsia" w:eastAsiaTheme="minorEastAsia"/>
          <w:b w:val="0"/>
          <w:bCs w:val="0"/>
          <w:sz w:val="21"/>
          <w:szCs w:val="21"/>
        </w:rPr>
      </w:pPr>
      <w:bookmarkStart w:id="65" w:name="_Toc18198"/>
      <w:r>
        <w:rPr>
          <w:rFonts w:hint="eastAsia" w:asciiTheme="minorEastAsia" w:hAnsiTheme="minorEastAsia" w:eastAsiaTheme="minorEastAsia"/>
          <w:b w:val="0"/>
          <w:bCs w:val="0"/>
          <w:sz w:val="21"/>
          <w:szCs w:val="21"/>
        </w:rPr>
        <w:t>节水型企业其他技术指标考核要求</w:t>
      </w:r>
      <w:bookmarkEnd w:id="65"/>
    </w:p>
    <w:tbl>
      <w:tblPr>
        <w:tblStyle w:val="2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787"/>
        <w:gridCol w:w="2410"/>
        <w:gridCol w:w="992"/>
        <w:gridCol w:w="851"/>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18"/>
                <w:szCs w:val="18"/>
              </w:rPr>
            </w:pPr>
            <w:r>
              <w:rPr>
                <w:rFonts w:hint="eastAsia" w:ascii="宋体" w:hAnsi="宋体"/>
                <w:b/>
                <w:sz w:val="18"/>
                <w:szCs w:val="18"/>
              </w:rPr>
              <w:t>序号</w:t>
            </w:r>
          </w:p>
        </w:tc>
        <w:tc>
          <w:tcPr>
            <w:tcW w:w="7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 w:val="18"/>
                <w:szCs w:val="18"/>
              </w:rPr>
            </w:pPr>
            <w:r>
              <w:rPr>
                <w:rFonts w:hint="eastAsia" w:ascii="宋体" w:hAnsi="宋体"/>
                <w:b/>
                <w:sz w:val="18"/>
                <w:szCs w:val="18"/>
              </w:rPr>
              <w:t>考核</w:t>
            </w:r>
          </w:p>
          <w:p>
            <w:pPr>
              <w:jc w:val="center"/>
              <w:rPr>
                <w:rFonts w:hint="eastAsia" w:ascii="宋体" w:hAnsi="宋体"/>
                <w:b/>
                <w:sz w:val="18"/>
                <w:szCs w:val="18"/>
              </w:rPr>
            </w:pPr>
            <w:r>
              <w:rPr>
                <w:rFonts w:hint="eastAsia" w:ascii="宋体" w:hAnsi="宋体"/>
                <w:b/>
                <w:sz w:val="18"/>
                <w:szCs w:val="18"/>
              </w:rPr>
              <w:t>内容</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 w:val="18"/>
                <w:szCs w:val="18"/>
              </w:rPr>
            </w:pPr>
            <w:r>
              <w:rPr>
                <w:rFonts w:hint="eastAsia" w:ascii="宋体" w:hAnsi="宋体"/>
                <w:b/>
                <w:sz w:val="18"/>
                <w:szCs w:val="18"/>
              </w:rPr>
              <w:t>技术指标</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 w:val="18"/>
                <w:szCs w:val="18"/>
              </w:rPr>
            </w:pPr>
            <w:r>
              <w:rPr>
                <w:rFonts w:hint="eastAsia" w:ascii="宋体" w:hAnsi="宋体"/>
                <w:b/>
                <w:sz w:val="18"/>
                <w:szCs w:val="18"/>
              </w:rPr>
              <w:t>单位</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 w:val="18"/>
                <w:szCs w:val="18"/>
              </w:rPr>
            </w:pPr>
            <w:r>
              <w:rPr>
                <w:rFonts w:hint="eastAsia" w:ascii="宋体" w:hAnsi="宋体"/>
                <w:b/>
                <w:sz w:val="18"/>
                <w:szCs w:val="18"/>
              </w:rPr>
              <w:t>考核值</w:t>
            </w:r>
          </w:p>
        </w:tc>
        <w:tc>
          <w:tcPr>
            <w:tcW w:w="20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b/>
                <w:sz w:val="18"/>
                <w:szCs w:val="18"/>
              </w:rPr>
            </w:pPr>
            <w:r>
              <w:rPr>
                <w:rFonts w:hint="eastAsia" w:ascii="宋体" w:hAnsi="宋体"/>
                <w:b/>
                <w:sz w:val="18"/>
                <w:szCs w:val="18"/>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sz w:val="18"/>
                <w:szCs w:val="18"/>
              </w:rPr>
            </w:pPr>
            <w:r>
              <w:rPr>
                <w:rFonts w:hint="eastAsia" w:ascii="宋体" w:hAnsi="宋体"/>
                <w:sz w:val="18"/>
                <w:szCs w:val="18"/>
              </w:rPr>
              <w:t>1</w:t>
            </w:r>
          </w:p>
        </w:tc>
        <w:tc>
          <w:tcPr>
            <w:tcW w:w="787" w:type="dxa"/>
            <w:vMerge w:val="restart"/>
            <w:tcBorders>
              <w:top w:val="nil"/>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sz w:val="18"/>
                <w:szCs w:val="18"/>
              </w:rPr>
            </w:pPr>
            <w:r>
              <w:rPr>
                <w:rFonts w:hint="eastAsia" w:ascii="宋体" w:hAnsi="宋体"/>
                <w:sz w:val="18"/>
                <w:szCs w:val="18"/>
              </w:rPr>
              <w:t>重复利用</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重复利用率</w:t>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≥70</w:t>
            </w:r>
          </w:p>
        </w:tc>
        <w:tc>
          <w:tcPr>
            <w:tcW w:w="2095" w:type="dxa"/>
            <w:vMerge w:val="restart"/>
            <w:tcBorders>
              <w:top w:val="nil"/>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重复利用率为必考核指标。当企业满足全部考核值要求时，得分区间在4-8分，任一考核指标不满足考核值要求，不得分。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2</w:t>
            </w:r>
          </w:p>
        </w:tc>
        <w:tc>
          <w:tcPr>
            <w:tcW w:w="7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sz w:val="18"/>
                <w:szCs w:val="18"/>
              </w:rPr>
            </w:pP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间接冷却水循环率</w:t>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≥70</w:t>
            </w:r>
          </w:p>
        </w:tc>
        <w:tc>
          <w:tcPr>
            <w:tcW w:w="2095"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3</w:t>
            </w:r>
          </w:p>
        </w:tc>
        <w:tc>
          <w:tcPr>
            <w:tcW w:w="78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sz w:val="18"/>
                <w:szCs w:val="18"/>
              </w:rPr>
            </w:pP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蒸汽冷凝水回用率</w:t>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≥85</w:t>
            </w:r>
          </w:p>
        </w:tc>
        <w:tc>
          <w:tcPr>
            <w:tcW w:w="2095"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4</w:t>
            </w:r>
          </w:p>
        </w:tc>
        <w:tc>
          <w:tcPr>
            <w:tcW w:w="78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hint="eastAsia" w:ascii="宋体" w:hAnsi="宋体"/>
                <w:sz w:val="18"/>
                <w:szCs w:val="18"/>
              </w:rPr>
              <w:t>用水漏损</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用水综合漏失率</w:t>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≤3</w:t>
            </w:r>
          </w:p>
        </w:tc>
        <w:tc>
          <w:tcPr>
            <w:tcW w:w="2095"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满足考核值要求时，得分区间在2-4分。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5</w:t>
            </w:r>
          </w:p>
        </w:tc>
        <w:tc>
          <w:tcPr>
            <w:tcW w:w="787" w:type="dxa"/>
            <w:vMerge w:val="restart"/>
            <w:tcBorders>
              <w:top w:val="nil"/>
              <w:left w:val="nil"/>
              <w:bottom w:val="single" w:color="auto" w:sz="4" w:space="0"/>
              <w:right w:val="single" w:color="auto" w:sz="4" w:space="0"/>
            </w:tcBorders>
            <w:vAlign w:val="center"/>
          </w:tcPr>
          <w:p>
            <w:pPr>
              <w:spacing w:before="156" w:beforeLines="50" w:after="156" w:afterLines="50"/>
              <w:jc w:val="center"/>
              <w:rPr>
                <w:rFonts w:hint="eastAsia" w:ascii="宋体" w:hAnsi="宋体"/>
                <w:sz w:val="18"/>
                <w:szCs w:val="18"/>
              </w:rPr>
            </w:pPr>
            <w:r>
              <w:rPr>
                <w:rFonts w:hint="eastAsia" w:ascii="宋体" w:hAnsi="宋体"/>
                <w:sz w:val="18"/>
                <w:szCs w:val="18"/>
              </w:rPr>
              <w:t>水计量器具配备率</w:t>
            </w:r>
          </w:p>
        </w:tc>
        <w:tc>
          <w:tcPr>
            <w:tcW w:w="241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用水单位</w:t>
            </w:r>
            <w:r>
              <w:rPr>
                <w:rFonts w:hint="eastAsia" w:ascii="宋体" w:hAnsi="宋体"/>
                <w:color w:val="000000"/>
                <w:kern w:val="0"/>
                <w:sz w:val="18"/>
                <w:szCs w:val="18"/>
              </w:rPr>
              <w:tab/>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100</w:t>
            </w:r>
          </w:p>
        </w:tc>
        <w:tc>
          <w:tcPr>
            <w:tcW w:w="2095" w:type="dxa"/>
            <w:vMerge w:val="restart"/>
            <w:tcBorders>
              <w:top w:val="nil"/>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应满足全部考核值要求，得分区间在3-4分。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6</w:t>
            </w:r>
          </w:p>
        </w:tc>
        <w:tc>
          <w:tcPr>
            <w:tcW w:w="787" w:type="dxa"/>
            <w:vMerge w:val="continue"/>
            <w:tcBorders>
              <w:top w:val="nil"/>
              <w:left w:val="nil"/>
              <w:bottom w:val="single" w:color="auto" w:sz="4" w:space="0"/>
              <w:right w:val="single" w:color="auto" w:sz="4" w:space="0"/>
            </w:tcBorders>
            <w:vAlign w:val="center"/>
          </w:tcPr>
          <w:p>
            <w:pPr>
              <w:widowControl/>
              <w:jc w:val="left"/>
              <w:rPr>
                <w:rFonts w:ascii="宋体" w:hAnsi="宋体"/>
                <w:sz w:val="18"/>
                <w:szCs w:val="18"/>
              </w:rPr>
            </w:pPr>
          </w:p>
        </w:tc>
        <w:tc>
          <w:tcPr>
            <w:tcW w:w="241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次级用水单位</w:t>
            </w:r>
            <w:r>
              <w:rPr>
                <w:rFonts w:hint="eastAsia" w:ascii="宋体" w:hAnsi="宋体"/>
                <w:color w:val="000000"/>
                <w:kern w:val="0"/>
                <w:sz w:val="18"/>
                <w:szCs w:val="18"/>
              </w:rPr>
              <w:tab/>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≥95</w:t>
            </w:r>
          </w:p>
        </w:tc>
        <w:tc>
          <w:tcPr>
            <w:tcW w:w="2095"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7</w:t>
            </w:r>
          </w:p>
        </w:tc>
        <w:tc>
          <w:tcPr>
            <w:tcW w:w="787" w:type="dxa"/>
            <w:vMerge w:val="continue"/>
            <w:tcBorders>
              <w:top w:val="nil"/>
              <w:left w:val="nil"/>
              <w:bottom w:val="single" w:color="auto" w:sz="4" w:space="0"/>
              <w:right w:val="single" w:color="auto" w:sz="4" w:space="0"/>
            </w:tcBorders>
            <w:vAlign w:val="center"/>
          </w:tcPr>
          <w:p>
            <w:pPr>
              <w:widowControl/>
              <w:jc w:val="left"/>
              <w:rPr>
                <w:rFonts w:ascii="宋体" w:hAnsi="宋体"/>
                <w:sz w:val="18"/>
                <w:szCs w:val="18"/>
              </w:rPr>
            </w:pPr>
          </w:p>
        </w:tc>
        <w:tc>
          <w:tcPr>
            <w:tcW w:w="241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主要用水设备(用水系统)</w:t>
            </w:r>
            <w:r>
              <w:rPr>
                <w:rFonts w:hint="eastAsia" w:ascii="宋体" w:hAnsi="宋体"/>
                <w:color w:val="000000"/>
                <w:kern w:val="0"/>
                <w:sz w:val="18"/>
                <w:szCs w:val="18"/>
              </w:rPr>
              <w:tab/>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≥85</w:t>
            </w:r>
          </w:p>
        </w:tc>
        <w:tc>
          <w:tcPr>
            <w:tcW w:w="2095"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8</w:t>
            </w:r>
          </w:p>
        </w:tc>
        <w:tc>
          <w:tcPr>
            <w:tcW w:w="787" w:type="dxa"/>
            <w:tcBorders>
              <w:top w:val="single" w:color="auto" w:sz="4" w:space="0"/>
              <w:left w:val="nil"/>
              <w:bottom w:val="single" w:color="auto" w:sz="4" w:space="0"/>
              <w:right w:val="single" w:color="auto" w:sz="4" w:space="0"/>
            </w:tcBorders>
            <w:vAlign w:val="center"/>
          </w:tcPr>
          <w:p>
            <w:pPr>
              <w:spacing w:before="156" w:beforeLines="50" w:after="156" w:afterLines="50"/>
              <w:jc w:val="center"/>
              <w:rPr>
                <w:rFonts w:hint="eastAsia" w:ascii="宋体" w:hAnsi="宋体"/>
                <w:sz w:val="18"/>
                <w:szCs w:val="18"/>
              </w:rPr>
            </w:pPr>
            <w:r>
              <w:rPr>
                <w:rFonts w:hint="eastAsia" w:ascii="宋体" w:hAnsi="宋体"/>
                <w:sz w:val="18"/>
                <w:szCs w:val="18"/>
              </w:rPr>
              <w:t>非常规水利用</w:t>
            </w:r>
          </w:p>
        </w:tc>
        <w:tc>
          <w:tcPr>
            <w:tcW w:w="241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非常规水源替代率</w:t>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w:t>
            </w: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≥10</w:t>
            </w:r>
          </w:p>
        </w:tc>
        <w:tc>
          <w:tcPr>
            <w:tcW w:w="2095"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满足考核值要求时，得分区间在3-4分。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5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hint="eastAsia" w:ascii="宋体" w:hAnsi="宋体"/>
                <w:sz w:val="18"/>
                <w:szCs w:val="18"/>
              </w:rPr>
            </w:pPr>
            <w:r>
              <w:rPr>
                <w:rFonts w:ascii="宋体" w:hAnsi="宋体"/>
                <w:sz w:val="18"/>
                <w:szCs w:val="18"/>
              </w:rPr>
              <w:t>9</w:t>
            </w:r>
          </w:p>
        </w:tc>
        <w:tc>
          <w:tcPr>
            <w:tcW w:w="787" w:type="dxa"/>
            <w:tcBorders>
              <w:top w:val="single" w:color="auto" w:sz="4" w:space="0"/>
              <w:left w:val="nil"/>
              <w:bottom w:val="single" w:color="auto" w:sz="4" w:space="0"/>
              <w:right w:val="single" w:color="auto" w:sz="4" w:space="0"/>
            </w:tcBorders>
            <w:vAlign w:val="center"/>
          </w:tcPr>
          <w:p>
            <w:pPr>
              <w:spacing w:before="156" w:beforeLines="50" w:after="156" w:afterLines="50"/>
              <w:jc w:val="center"/>
              <w:rPr>
                <w:rFonts w:hint="eastAsia" w:ascii="宋体" w:hAnsi="宋体"/>
                <w:sz w:val="18"/>
                <w:szCs w:val="18"/>
              </w:rPr>
            </w:pPr>
            <w:r>
              <w:rPr>
                <w:rFonts w:hint="eastAsia" w:ascii="宋体" w:hAnsi="宋体"/>
                <w:sz w:val="18"/>
                <w:szCs w:val="18"/>
              </w:rPr>
              <w:t>水源结构</w:t>
            </w:r>
          </w:p>
        </w:tc>
        <w:tc>
          <w:tcPr>
            <w:tcW w:w="241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不使用地下水</w:t>
            </w:r>
          </w:p>
        </w:tc>
        <w:tc>
          <w:tcPr>
            <w:tcW w:w="992"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color w:val="000000"/>
                <w:kern w:val="0"/>
                <w:sz w:val="18"/>
                <w:szCs w:val="18"/>
              </w:rPr>
            </w:pPr>
          </w:p>
        </w:tc>
        <w:tc>
          <w:tcPr>
            <w:tcW w:w="851"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p>
        </w:tc>
        <w:tc>
          <w:tcPr>
            <w:tcW w:w="2095" w:type="dxa"/>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宋体" w:hAnsi="宋体"/>
                <w:kern w:val="0"/>
                <w:sz w:val="18"/>
                <w:szCs w:val="18"/>
              </w:rPr>
            </w:pPr>
            <w:r>
              <w:rPr>
                <w:rFonts w:hint="eastAsia" w:ascii="宋体" w:hAnsi="宋体"/>
                <w:kern w:val="0"/>
                <w:sz w:val="18"/>
                <w:szCs w:val="18"/>
              </w:rPr>
              <w:t>不使用地下水，得0分；使用地下水扣2分</w:t>
            </w:r>
          </w:p>
        </w:tc>
      </w:tr>
    </w:tbl>
    <w:p>
      <w:pPr>
        <w:spacing w:line="360" w:lineRule="auto"/>
        <w:outlineLvl w:val="0"/>
        <w:rPr>
          <w:rFonts w:hint="eastAsia" w:ascii="宋体" w:hAnsi="宋体"/>
        </w:rPr>
      </w:pPr>
      <w:bookmarkStart w:id="66" w:name="_Toc32317"/>
      <w:r>
        <w:rPr>
          <w:rFonts w:hint="eastAsia" w:ascii="宋体" w:hAnsi="宋体"/>
        </w:rPr>
        <w:t>3</w:t>
      </w:r>
      <w:r>
        <w:rPr>
          <w:rFonts w:ascii="宋体" w:hAnsi="宋体"/>
        </w:rPr>
        <w:t>.</w:t>
      </w:r>
      <w:r>
        <w:rPr>
          <w:rFonts w:hint="eastAsia" w:ascii="宋体" w:hAnsi="宋体"/>
        </w:rPr>
        <w:t>数据来源及企业调研情况</w:t>
      </w:r>
      <w:bookmarkEnd w:id="66"/>
    </w:p>
    <w:p>
      <w:pPr>
        <w:spacing w:line="360" w:lineRule="auto"/>
        <w:ind w:firstLine="420" w:firstLineChars="200"/>
        <w:jc w:val="center"/>
        <w:rPr>
          <w:rFonts w:ascii="宋体" w:hAnsi="宋体" w:cs="宋体"/>
          <w:color w:val="FF0000"/>
        </w:rPr>
      </w:pPr>
      <w:r>
        <w:rPr>
          <w:rFonts w:hint="eastAsia" w:ascii="宋体" w:hAnsi="宋体" w:cs="宋体"/>
        </w:rPr>
        <w:t>洗净毛生产企业技术指标</w:t>
      </w:r>
      <w:r>
        <w:rPr>
          <w:rFonts w:ascii="宋体" w:hAnsi="宋体" w:cs="宋体"/>
        </w:rPr>
        <w:t xml:space="preserve">    </w:t>
      </w:r>
      <w:r>
        <w:rPr>
          <w:rFonts w:ascii="宋体" w:hAnsi="宋体" w:cs="宋体"/>
          <w:color w:val="FF0000"/>
        </w:rPr>
        <w:t xml:space="preserve">                          </w:t>
      </w:r>
    </w:p>
    <w:tbl>
      <w:tblPr>
        <w:tblStyle w:val="2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223"/>
        <w:gridCol w:w="992"/>
        <w:gridCol w:w="988"/>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187" w:type="dxa"/>
            <w:vAlign w:val="center"/>
          </w:tcPr>
          <w:p>
            <w:pPr>
              <w:spacing w:line="360" w:lineRule="auto"/>
              <w:jc w:val="center"/>
              <w:rPr>
                <w:rFonts w:ascii="宋体" w:hAnsi="宋体" w:cs="宋体"/>
              </w:rPr>
            </w:pPr>
            <w:r>
              <w:rPr>
                <w:rFonts w:hint="eastAsia" w:ascii="宋体" w:hAnsi="宋体" w:cs="宋体"/>
              </w:rPr>
              <w:t>调研企业</w:t>
            </w:r>
          </w:p>
        </w:tc>
        <w:tc>
          <w:tcPr>
            <w:tcW w:w="1223" w:type="dxa"/>
            <w:vAlign w:val="center"/>
          </w:tcPr>
          <w:p>
            <w:pPr>
              <w:spacing w:line="360" w:lineRule="auto"/>
              <w:jc w:val="center"/>
              <w:rPr>
                <w:rFonts w:ascii="宋体" w:hAnsi="宋体" w:cs="宋体"/>
              </w:rPr>
            </w:pPr>
            <w:r>
              <w:rPr>
                <w:rFonts w:hint="eastAsia" w:ascii="宋体" w:hAnsi="宋体" w:cs="宋体"/>
              </w:rPr>
              <w:t>产能行业占比</w:t>
            </w:r>
          </w:p>
        </w:tc>
        <w:tc>
          <w:tcPr>
            <w:tcW w:w="992" w:type="dxa"/>
            <w:vAlign w:val="center"/>
          </w:tcPr>
          <w:p>
            <w:pPr>
              <w:spacing w:line="360" w:lineRule="auto"/>
              <w:jc w:val="center"/>
              <w:rPr>
                <w:rFonts w:ascii="宋体" w:hAnsi="宋体" w:cs="宋体"/>
              </w:rPr>
            </w:pPr>
            <w:r>
              <w:rPr>
                <w:rFonts w:hint="eastAsia" w:ascii="宋体" w:hAnsi="宋体" w:cs="宋体"/>
              </w:rPr>
              <w:t>单位产品取水量</w:t>
            </w:r>
          </w:p>
        </w:tc>
        <w:tc>
          <w:tcPr>
            <w:tcW w:w="988" w:type="dxa"/>
            <w:vAlign w:val="center"/>
          </w:tcPr>
          <w:p>
            <w:pPr>
              <w:spacing w:line="360" w:lineRule="auto"/>
              <w:jc w:val="center"/>
              <w:rPr>
                <w:rFonts w:ascii="宋体" w:hAnsi="宋体" w:cs="宋体"/>
              </w:rPr>
            </w:pPr>
            <w:r>
              <w:rPr>
                <w:rFonts w:hint="eastAsia" w:ascii="宋体" w:hAnsi="宋体" w:cs="宋体"/>
              </w:rPr>
              <w:t>水重复利用率</w:t>
            </w:r>
          </w:p>
        </w:tc>
        <w:tc>
          <w:tcPr>
            <w:tcW w:w="1134" w:type="dxa"/>
            <w:vAlign w:val="center"/>
          </w:tcPr>
          <w:p>
            <w:pPr>
              <w:spacing w:line="360" w:lineRule="auto"/>
              <w:jc w:val="center"/>
              <w:rPr>
                <w:rFonts w:ascii="宋体" w:hAnsi="宋体" w:cs="宋体"/>
              </w:rPr>
            </w:pPr>
            <w:r>
              <w:rPr>
                <w:rFonts w:hint="eastAsia" w:ascii="宋体" w:hAnsi="宋体" w:cs="宋体"/>
              </w:rPr>
              <w:t>间接循环水利用率</w:t>
            </w:r>
          </w:p>
        </w:tc>
        <w:tc>
          <w:tcPr>
            <w:tcW w:w="1134"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34" w:type="dxa"/>
            <w:vAlign w:val="center"/>
          </w:tcPr>
          <w:p>
            <w:pPr>
              <w:spacing w:line="360" w:lineRule="auto"/>
              <w:jc w:val="center"/>
              <w:rPr>
                <w:rFonts w:hint="eastAsia" w:ascii="宋体" w:hAnsi="宋体" w:cs="宋体"/>
              </w:rPr>
            </w:pPr>
            <w:r>
              <w:rPr>
                <w:rFonts w:hint="eastAsia" w:ascii="宋体" w:hAnsi="宋体" w:cs="宋体"/>
              </w:rPr>
              <w:t>用水综合漏失率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1223" w:type="dxa"/>
            <w:vAlign w:val="center"/>
          </w:tcPr>
          <w:p>
            <w:pPr>
              <w:spacing w:line="360" w:lineRule="auto"/>
              <w:jc w:val="center"/>
              <w:rPr>
                <w:rFonts w:ascii="宋体" w:hAnsi="宋体" w:cs="宋体"/>
              </w:rPr>
            </w:pPr>
            <w:r>
              <w:rPr>
                <w:rFonts w:ascii="宋体" w:hAnsi="宋体" w:cs="宋体"/>
              </w:rPr>
              <w:t>5%</w:t>
            </w:r>
          </w:p>
        </w:tc>
        <w:tc>
          <w:tcPr>
            <w:tcW w:w="992" w:type="dxa"/>
            <w:vAlign w:val="center"/>
          </w:tcPr>
          <w:p>
            <w:pPr>
              <w:spacing w:line="360" w:lineRule="auto"/>
              <w:jc w:val="center"/>
              <w:rPr>
                <w:rFonts w:ascii="宋体" w:hAnsi="宋体" w:cs="宋体"/>
              </w:rPr>
            </w:pPr>
            <w:r>
              <w:rPr>
                <w:rFonts w:ascii="宋体" w:hAnsi="宋体" w:cs="宋体"/>
              </w:rPr>
              <w:t>16.5</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1223" w:type="dxa"/>
            <w:vAlign w:val="center"/>
          </w:tcPr>
          <w:p>
            <w:pPr>
              <w:spacing w:line="360" w:lineRule="auto"/>
              <w:jc w:val="center"/>
              <w:rPr>
                <w:rFonts w:ascii="宋体" w:hAnsi="宋体" w:cs="宋体"/>
              </w:rPr>
            </w:pPr>
            <w:r>
              <w:rPr>
                <w:rFonts w:ascii="宋体" w:hAnsi="宋体" w:cs="宋体"/>
              </w:rPr>
              <w:t>4%</w:t>
            </w:r>
          </w:p>
        </w:tc>
        <w:tc>
          <w:tcPr>
            <w:tcW w:w="992" w:type="dxa"/>
            <w:vAlign w:val="center"/>
          </w:tcPr>
          <w:p>
            <w:pPr>
              <w:spacing w:line="360" w:lineRule="auto"/>
              <w:jc w:val="center"/>
              <w:rPr>
                <w:rFonts w:ascii="宋体" w:hAnsi="宋体" w:cs="宋体"/>
              </w:rPr>
            </w:pPr>
            <w:r>
              <w:rPr>
                <w:rFonts w:ascii="宋体" w:hAnsi="宋体" w:cs="宋体"/>
              </w:rPr>
              <w:t>16.0</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企业3</w:t>
            </w:r>
          </w:p>
        </w:tc>
        <w:tc>
          <w:tcPr>
            <w:tcW w:w="1223" w:type="dxa"/>
            <w:vAlign w:val="center"/>
          </w:tcPr>
          <w:p>
            <w:pPr>
              <w:spacing w:line="360" w:lineRule="auto"/>
              <w:jc w:val="center"/>
              <w:rPr>
                <w:rFonts w:ascii="宋体" w:hAnsi="宋体" w:cs="宋体"/>
              </w:rPr>
            </w:pPr>
            <w:r>
              <w:rPr>
                <w:rFonts w:ascii="宋体" w:hAnsi="宋体" w:cs="宋体"/>
              </w:rPr>
              <w:t>4%</w:t>
            </w:r>
          </w:p>
        </w:tc>
        <w:tc>
          <w:tcPr>
            <w:tcW w:w="992" w:type="dxa"/>
            <w:vAlign w:val="center"/>
          </w:tcPr>
          <w:p>
            <w:pPr>
              <w:spacing w:line="360" w:lineRule="auto"/>
              <w:jc w:val="center"/>
              <w:rPr>
                <w:rFonts w:ascii="宋体" w:hAnsi="宋体" w:cs="宋体"/>
              </w:rPr>
            </w:pPr>
            <w:r>
              <w:rPr>
                <w:rFonts w:ascii="宋体" w:hAnsi="宋体" w:cs="宋体"/>
              </w:rPr>
              <w:t>15.6</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企业4</w:t>
            </w:r>
          </w:p>
        </w:tc>
        <w:tc>
          <w:tcPr>
            <w:tcW w:w="1223" w:type="dxa"/>
            <w:vAlign w:val="center"/>
          </w:tcPr>
          <w:p>
            <w:pPr>
              <w:spacing w:line="360" w:lineRule="auto"/>
              <w:jc w:val="center"/>
              <w:rPr>
                <w:rFonts w:ascii="宋体" w:hAnsi="宋体" w:cs="宋体"/>
              </w:rPr>
            </w:pPr>
            <w:r>
              <w:rPr>
                <w:rFonts w:ascii="宋体" w:hAnsi="宋体" w:cs="宋体"/>
              </w:rPr>
              <w:t>5%</w:t>
            </w:r>
          </w:p>
        </w:tc>
        <w:tc>
          <w:tcPr>
            <w:tcW w:w="992" w:type="dxa"/>
            <w:vAlign w:val="center"/>
          </w:tcPr>
          <w:p>
            <w:pPr>
              <w:spacing w:line="360" w:lineRule="auto"/>
              <w:jc w:val="center"/>
              <w:rPr>
                <w:rFonts w:ascii="宋体" w:hAnsi="宋体" w:cs="宋体"/>
              </w:rPr>
            </w:pPr>
            <w:r>
              <w:rPr>
                <w:rFonts w:ascii="宋体" w:hAnsi="宋体" w:cs="宋体"/>
              </w:rPr>
              <w:t>15.0</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企业5</w:t>
            </w:r>
          </w:p>
        </w:tc>
        <w:tc>
          <w:tcPr>
            <w:tcW w:w="1223" w:type="dxa"/>
            <w:vAlign w:val="center"/>
          </w:tcPr>
          <w:p>
            <w:pPr>
              <w:spacing w:line="360" w:lineRule="auto"/>
              <w:jc w:val="center"/>
              <w:rPr>
                <w:rFonts w:ascii="宋体" w:hAnsi="宋体" w:cs="宋体"/>
              </w:rPr>
            </w:pPr>
            <w:r>
              <w:rPr>
                <w:rFonts w:ascii="宋体" w:hAnsi="宋体" w:cs="宋体"/>
              </w:rPr>
              <w:t>20%</w:t>
            </w:r>
          </w:p>
        </w:tc>
        <w:tc>
          <w:tcPr>
            <w:tcW w:w="992" w:type="dxa"/>
            <w:vAlign w:val="center"/>
          </w:tcPr>
          <w:p>
            <w:pPr>
              <w:spacing w:line="360" w:lineRule="auto"/>
              <w:jc w:val="center"/>
              <w:rPr>
                <w:rFonts w:ascii="宋体" w:hAnsi="宋体" w:cs="宋体"/>
              </w:rPr>
            </w:pPr>
            <w:r>
              <w:rPr>
                <w:rFonts w:ascii="宋体" w:hAnsi="宋体" w:cs="宋体"/>
              </w:rPr>
              <w:t>14.5</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企业6</w:t>
            </w:r>
          </w:p>
        </w:tc>
        <w:tc>
          <w:tcPr>
            <w:tcW w:w="1223" w:type="dxa"/>
            <w:vAlign w:val="center"/>
          </w:tcPr>
          <w:p>
            <w:pPr>
              <w:spacing w:line="360" w:lineRule="auto"/>
              <w:jc w:val="center"/>
              <w:rPr>
                <w:rFonts w:ascii="宋体" w:hAnsi="宋体" w:cs="宋体"/>
              </w:rPr>
            </w:pPr>
            <w:r>
              <w:rPr>
                <w:rFonts w:ascii="宋体" w:hAnsi="宋体" w:cs="宋体"/>
              </w:rPr>
              <w:t>10%</w:t>
            </w:r>
          </w:p>
        </w:tc>
        <w:tc>
          <w:tcPr>
            <w:tcW w:w="992" w:type="dxa"/>
            <w:vAlign w:val="center"/>
          </w:tcPr>
          <w:p>
            <w:pPr>
              <w:spacing w:line="360" w:lineRule="auto"/>
              <w:jc w:val="center"/>
              <w:rPr>
                <w:rFonts w:ascii="宋体" w:hAnsi="宋体" w:cs="宋体"/>
              </w:rPr>
            </w:pPr>
            <w:r>
              <w:rPr>
                <w:rFonts w:ascii="宋体" w:hAnsi="宋体" w:cs="宋体"/>
              </w:rPr>
              <w:t>14.2</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企业7</w:t>
            </w:r>
          </w:p>
        </w:tc>
        <w:tc>
          <w:tcPr>
            <w:tcW w:w="1223" w:type="dxa"/>
            <w:vAlign w:val="center"/>
          </w:tcPr>
          <w:p>
            <w:pPr>
              <w:spacing w:line="360" w:lineRule="auto"/>
              <w:jc w:val="center"/>
              <w:rPr>
                <w:rFonts w:ascii="宋体" w:hAnsi="宋体" w:cs="宋体"/>
              </w:rPr>
            </w:pPr>
            <w:r>
              <w:rPr>
                <w:rFonts w:ascii="宋体" w:hAnsi="宋体" w:cs="宋体"/>
              </w:rPr>
              <w:t>10%</w:t>
            </w:r>
          </w:p>
        </w:tc>
        <w:tc>
          <w:tcPr>
            <w:tcW w:w="992" w:type="dxa"/>
            <w:vAlign w:val="center"/>
          </w:tcPr>
          <w:p>
            <w:pPr>
              <w:spacing w:line="360" w:lineRule="auto"/>
              <w:jc w:val="center"/>
              <w:rPr>
                <w:rFonts w:ascii="宋体" w:hAnsi="宋体" w:cs="宋体"/>
              </w:rPr>
            </w:pPr>
            <w:r>
              <w:rPr>
                <w:rFonts w:ascii="宋体" w:hAnsi="宋体" w:cs="宋体"/>
              </w:rPr>
              <w:t>12.0</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合计</w:t>
            </w:r>
          </w:p>
        </w:tc>
        <w:tc>
          <w:tcPr>
            <w:tcW w:w="1223" w:type="dxa"/>
            <w:vAlign w:val="center"/>
          </w:tcPr>
          <w:p>
            <w:pPr>
              <w:spacing w:line="360" w:lineRule="auto"/>
              <w:jc w:val="center"/>
              <w:rPr>
                <w:rFonts w:ascii="宋体" w:hAnsi="宋体" w:cs="宋体"/>
              </w:rPr>
            </w:pPr>
            <w:r>
              <w:rPr>
                <w:rFonts w:ascii="宋体" w:hAnsi="宋体" w:cs="宋体"/>
              </w:rPr>
              <w:t>58%</w:t>
            </w:r>
          </w:p>
        </w:tc>
        <w:tc>
          <w:tcPr>
            <w:tcW w:w="992" w:type="dxa"/>
            <w:vAlign w:val="center"/>
          </w:tcPr>
          <w:p>
            <w:pPr>
              <w:spacing w:line="360" w:lineRule="auto"/>
              <w:jc w:val="center"/>
              <w:rPr>
                <w:rFonts w:ascii="宋体" w:hAnsi="宋体" w:cs="宋体"/>
              </w:rPr>
            </w:pP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bl>
    <w:p>
      <w:pPr>
        <w:spacing w:line="360" w:lineRule="auto"/>
        <w:ind w:firstLine="420" w:firstLineChars="200"/>
        <w:jc w:val="left"/>
        <w:rPr>
          <w:rFonts w:ascii="宋体" w:hAnsi="宋体" w:cs="宋体"/>
        </w:rPr>
      </w:pPr>
      <w:r>
        <w:rPr>
          <w:rFonts w:hint="eastAsia" w:ascii="宋体" w:hAnsi="宋体" w:cs="宋体"/>
        </w:rPr>
        <w:t>该类产品调研企业产能占行业产能的</w:t>
      </w:r>
      <w:r>
        <w:rPr>
          <w:rFonts w:ascii="宋体" w:hAnsi="宋体" w:cs="宋体"/>
        </w:rPr>
        <w:t>58%，通过对比数据，通用值选取数值为调研占比的84.5%，先进值的选取为调研占比的17.2%。</w:t>
      </w:r>
    </w:p>
    <w:bookmarkEnd w:id="63"/>
    <w:p>
      <w:pPr>
        <w:spacing w:line="360" w:lineRule="auto"/>
        <w:ind w:firstLine="420" w:firstLineChars="200"/>
        <w:jc w:val="center"/>
        <w:outlineLvl w:val="1"/>
        <w:rPr>
          <w:rFonts w:ascii="宋体" w:hAnsi="宋体" w:cs="宋体"/>
        </w:rPr>
      </w:pPr>
      <w:bookmarkStart w:id="67" w:name="_Toc18626"/>
      <w:r>
        <w:rPr>
          <w:rFonts w:hint="eastAsia" w:ascii="宋体" w:hAnsi="宋体" w:cs="宋体"/>
        </w:rPr>
        <w:t>炭化毛生产企业技术指标</w:t>
      </w:r>
      <w:bookmarkEnd w:id="67"/>
    </w:p>
    <w:tbl>
      <w:tblPr>
        <w:tblStyle w:val="2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223"/>
        <w:gridCol w:w="992"/>
        <w:gridCol w:w="988"/>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187" w:type="dxa"/>
            <w:vAlign w:val="center"/>
          </w:tcPr>
          <w:p>
            <w:pPr>
              <w:spacing w:line="360" w:lineRule="auto"/>
              <w:jc w:val="center"/>
              <w:rPr>
                <w:rFonts w:ascii="宋体" w:hAnsi="宋体" w:cs="宋体"/>
              </w:rPr>
            </w:pPr>
            <w:r>
              <w:rPr>
                <w:rFonts w:hint="eastAsia" w:ascii="宋体" w:hAnsi="宋体" w:cs="宋体"/>
              </w:rPr>
              <w:t>调研企业</w:t>
            </w:r>
          </w:p>
        </w:tc>
        <w:tc>
          <w:tcPr>
            <w:tcW w:w="1223" w:type="dxa"/>
            <w:vAlign w:val="center"/>
          </w:tcPr>
          <w:p>
            <w:pPr>
              <w:spacing w:line="360" w:lineRule="auto"/>
              <w:jc w:val="center"/>
              <w:rPr>
                <w:rFonts w:ascii="宋体" w:hAnsi="宋体" w:cs="宋体"/>
              </w:rPr>
            </w:pPr>
            <w:r>
              <w:rPr>
                <w:rFonts w:hint="eastAsia" w:ascii="宋体" w:hAnsi="宋体" w:cs="宋体"/>
              </w:rPr>
              <w:t>产能行业占比</w:t>
            </w:r>
          </w:p>
        </w:tc>
        <w:tc>
          <w:tcPr>
            <w:tcW w:w="992" w:type="dxa"/>
            <w:vAlign w:val="center"/>
          </w:tcPr>
          <w:p>
            <w:pPr>
              <w:spacing w:line="360" w:lineRule="auto"/>
              <w:jc w:val="center"/>
              <w:rPr>
                <w:rFonts w:ascii="宋体" w:hAnsi="宋体" w:cs="宋体"/>
              </w:rPr>
            </w:pPr>
            <w:r>
              <w:rPr>
                <w:rFonts w:hint="eastAsia" w:ascii="宋体" w:hAnsi="宋体" w:cs="宋体"/>
              </w:rPr>
              <w:t>单位产品取水量</w:t>
            </w:r>
          </w:p>
        </w:tc>
        <w:tc>
          <w:tcPr>
            <w:tcW w:w="988" w:type="dxa"/>
            <w:vAlign w:val="center"/>
          </w:tcPr>
          <w:p>
            <w:pPr>
              <w:spacing w:line="360" w:lineRule="auto"/>
              <w:jc w:val="center"/>
              <w:rPr>
                <w:rFonts w:ascii="宋体" w:hAnsi="宋体" w:cs="宋体"/>
              </w:rPr>
            </w:pPr>
            <w:r>
              <w:rPr>
                <w:rFonts w:hint="eastAsia" w:ascii="宋体" w:hAnsi="宋体" w:cs="宋体"/>
              </w:rPr>
              <w:t>水重复利用率</w:t>
            </w:r>
          </w:p>
        </w:tc>
        <w:tc>
          <w:tcPr>
            <w:tcW w:w="1134" w:type="dxa"/>
            <w:vAlign w:val="center"/>
          </w:tcPr>
          <w:p>
            <w:pPr>
              <w:spacing w:line="360" w:lineRule="auto"/>
              <w:jc w:val="center"/>
              <w:rPr>
                <w:rFonts w:ascii="宋体" w:hAnsi="宋体" w:cs="宋体"/>
              </w:rPr>
            </w:pPr>
            <w:r>
              <w:rPr>
                <w:rFonts w:hint="eastAsia" w:ascii="宋体" w:hAnsi="宋体" w:cs="宋体"/>
              </w:rPr>
              <w:t>间接循环水利用率</w:t>
            </w:r>
          </w:p>
        </w:tc>
        <w:tc>
          <w:tcPr>
            <w:tcW w:w="1134"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34" w:type="dxa"/>
            <w:vAlign w:val="center"/>
          </w:tcPr>
          <w:p>
            <w:pPr>
              <w:spacing w:line="360" w:lineRule="auto"/>
              <w:jc w:val="center"/>
              <w:rPr>
                <w:rFonts w:hint="eastAsia" w:ascii="宋体" w:hAnsi="宋体" w:cs="宋体"/>
              </w:rPr>
            </w:pPr>
            <w:r>
              <w:rPr>
                <w:rFonts w:hint="eastAsia" w:ascii="宋体" w:hAnsi="宋体" w:cs="宋体"/>
              </w:rPr>
              <w:t>用水综合漏失率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1223" w:type="dxa"/>
          </w:tcPr>
          <w:p>
            <w:pPr>
              <w:spacing w:line="360" w:lineRule="auto"/>
              <w:jc w:val="center"/>
              <w:rPr>
                <w:rFonts w:ascii="宋体" w:hAnsi="宋体" w:cs="宋体"/>
              </w:rPr>
            </w:pPr>
            <w:r>
              <w:rPr>
                <w:rFonts w:ascii="宋体" w:hAnsi="宋体" w:cs="宋体"/>
              </w:rPr>
              <w:t>5%</w:t>
            </w:r>
          </w:p>
        </w:tc>
        <w:tc>
          <w:tcPr>
            <w:tcW w:w="992" w:type="dxa"/>
          </w:tcPr>
          <w:p>
            <w:pPr>
              <w:spacing w:line="360" w:lineRule="auto"/>
              <w:jc w:val="center"/>
              <w:rPr>
                <w:rFonts w:ascii="宋体" w:hAnsi="宋体" w:cs="宋体"/>
              </w:rPr>
            </w:pPr>
            <w:r>
              <w:rPr>
                <w:rFonts w:ascii="宋体" w:hAnsi="宋体" w:cs="宋体"/>
              </w:rPr>
              <w:t>25.5</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1223" w:type="dxa"/>
          </w:tcPr>
          <w:p>
            <w:pPr>
              <w:spacing w:line="360" w:lineRule="auto"/>
              <w:jc w:val="center"/>
              <w:rPr>
                <w:rFonts w:ascii="宋体" w:hAnsi="宋体" w:cs="宋体"/>
              </w:rPr>
            </w:pPr>
            <w:r>
              <w:rPr>
                <w:rFonts w:ascii="宋体" w:hAnsi="宋体" w:cs="宋体"/>
              </w:rPr>
              <w:t>4%</w:t>
            </w:r>
          </w:p>
        </w:tc>
        <w:tc>
          <w:tcPr>
            <w:tcW w:w="992" w:type="dxa"/>
          </w:tcPr>
          <w:p>
            <w:pPr>
              <w:spacing w:line="360" w:lineRule="auto"/>
              <w:jc w:val="center"/>
              <w:rPr>
                <w:rFonts w:ascii="宋体" w:hAnsi="宋体" w:cs="宋体"/>
              </w:rPr>
            </w:pPr>
            <w:r>
              <w:rPr>
                <w:rFonts w:ascii="宋体" w:hAnsi="宋体" w:cs="宋体"/>
              </w:rPr>
              <w:t>25.0</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企业3</w:t>
            </w:r>
          </w:p>
        </w:tc>
        <w:tc>
          <w:tcPr>
            <w:tcW w:w="1223" w:type="dxa"/>
          </w:tcPr>
          <w:p>
            <w:pPr>
              <w:spacing w:line="360" w:lineRule="auto"/>
              <w:jc w:val="center"/>
              <w:rPr>
                <w:rFonts w:ascii="宋体" w:hAnsi="宋体" w:cs="宋体"/>
              </w:rPr>
            </w:pPr>
            <w:r>
              <w:rPr>
                <w:rFonts w:ascii="宋体" w:hAnsi="宋体" w:cs="宋体"/>
              </w:rPr>
              <w:t>6%</w:t>
            </w:r>
          </w:p>
        </w:tc>
        <w:tc>
          <w:tcPr>
            <w:tcW w:w="992" w:type="dxa"/>
          </w:tcPr>
          <w:p>
            <w:pPr>
              <w:spacing w:line="360" w:lineRule="auto"/>
              <w:jc w:val="center"/>
              <w:rPr>
                <w:rFonts w:ascii="宋体" w:hAnsi="宋体" w:cs="宋体"/>
              </w:rPr>
            </w:pPr>
            <w:r>
              <w:rPr>
                <w:rFonts w:ascii="宋体" w:hAnsi="宋体" w:cs="宋体"/>
              </w:rPr>
              <w:t>23.2</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企业4</w:t>
            </w:r>
          </w:p>
        </w:tc>
        <w:tc>
          <w:tcPr>
            <w:tcW w:w="1223" w:type="dxa"/>
          </w:tcPr>
          <w:p>
            <w:pPr>
              <w:spacing w:line="360" w:lineRule="auto"/>
              <w:jc w:val="center"/>
              <w:rPr>
                <w:rFonts w:ascii="宋体" w:hAnsi="宋体" w:cs="宋体"/>
              </w:rPr>
            </w:pPr>
            <w:r>
              <w:rPr>
                <w:rFonts w:ascii="宋体" w:hAnsi="宋体" w:cs="宋体"/>
              </w:rPr>
              <w:t>15%</w:t>
            </w:r>
          </w:p>
        </w:tc>
        <w:tc>
          <w:tcPr>
            <w:tcW w:w="992" w:type="dxa"/>
          </w:tcPr>
          <w:p>
            <w:pPr>
              <w:spacing w:line="360" w:lineRule="auto"/>
              <w:jc w:val="center"/>
              <w:rPr>
                <w:rFonts w:ascii="宋体" w:hAnsi="宋体" w:cs="宋体"/>
              </w:rPr>
            </w:pPr>
            <w:r>
              <w:rPr>
                <w:rFonts w:ascii="宋体" w:hAnsi="宋体" w:cs="宋体"/>
              </w:rPr>
              <w:t>22.0</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企业5</w:t>
            </w:r>
          </w:p>
        </w:tc>
        <w:tc>
          <w:tcPr>
            <w:tcW w:w="1223" w:type="dxa"/>
          </w:tcPr>
          <w:p>
            <w:pPr>
              <w:spacing w:line="360" w:lineRule="auto"/>
              <w:jc w:val="center"/>
              <w:rPr>
                <w:rFonts w:ascii="宋体" w:hAnsi="宋体" w:cs="宋体"/>
              </w:rPr>
            </w:pPr>
            <w:r>
              <w:rPr>
                <w:rFonts w:ascii="宋体" w:hAnsi="宋体" w:cs="宋体"/>
              </w:rPr>
              <w:t>10%</w:t>
            </w:r>
          </w:p>
        </w:tc>
        <w:tc>
          <w:tcPr>
            <w:tcW w:w="992" w:type="dxa"/>
          </w:tcPr>
          <w:p>
            <w:pPr>
              <w:spacing w:line="360" w:lineRule="auto"/>
              <w:jc w:val="center"/>
              <w:rPr>
                <w:rFonts w:ascii="宋体" w:hAnsi="宋体" w:cs="宋体"/>
              </w:rPr>
            </w:pPr>
            <w:r>
              <w:rPr>
                <w:rFonts w:ascii="宋体" w:hAnsi="宋体" w:cs="宋体"/>
              </w:rPr>
              <w:t>20.6</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企业6</w:t>
            </w:r>
          </w:p>
        </w:tc>
        <w:tc>
          <w:tcPr>
            <w:tcW w:w="1223" w:type="dxa"/>
          </w:tcPr>
          <w:p>
            <w:pPr>
              <w:spacing w:line="360" w:lineRule="auto"/>
              <w:jc w:val="center"/>
              <w:rPr>
                <w:rFonts w:ascii="宋体" w:hAnsi="宋体" w:cs="宋体"/>
              </w:rPr>
            </w:pPr>
            <w:r>
              <w:rPr>
                <w:rFonts w:ascii="宋体" w:hAnsi="宋体" w:cs="宋体"/>
              </w:rPr>
              <w:t>20%</w:t>
            </w:r>
          </w:p>
        </w:tc>
        <w:tc>
          <w:tcPr>
            <w:tcW w:w="992" w:type="dxa"/>
          </w:tcPr>
          <w:p>
            <w:pPr>
              <w:spacing w:line="360" w:lineRule="auto"/>
              <w:jc w:val="center"/>
              <w:rPr>
                <w:rFonts w:ascii="宋体" w:hAnsi="宋体" w:cs="宋体"/>
              </w:rPr>
            </w:pPr>
            <w:r>
              <w:rPr>
                <w:rFonts w:ascii="宋体" w:hAnsi="宋体" w:cs="宋体"/>
              </w:rPr>
              <w:t>15.8</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合计</w:t>
            </w:r>
          </w:p>
        </w:tc>
        <w:tc>
          <w:tcPr>
            <w:tcW w:w="1223" w:type="dxa"/>
          </w:tcPr>
          <w:p>
            <w:pPr>
              <w:spacing w:line="360" w:lineRule="auto"/>
              <w:jc w:val="center"/>
              <w:rPr>
                <w:rFonts w:ascii="宋体" w:hAnsi="宋体" w:cs="宋体"/>
              </w:rPr>
            </w:pPr>
            <w:r>
              <w:rPr>
                <w:rFonts w:ascii="宋体" w:hAnsi="宋体" w:cs="宋体"/>
              </w:rPr>
              <w:t>60%</w:t>
            </w:r>
          </w:p>
        </w:tc>
        <w:tc>
          <w:tcPr>
            <w:tcW w:w="992" w:type="dxa"/>
            <w:vAlign w:val="center"/>
          </w:tcPr>
          <w:p>
            <w:pPr>
              <w:spacing w:line="360" w:lineRule="auto"/>
              <w:jc w:val="center"/>
              <w:rPr>
                <w:rFonts w:ascii="宋体" w:hAnsi="宋体" w:cs="宋体"/>
              </w:rPr>
            </w:pP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bl>
    <w:p>
      <w:pPr>
        <w:spacing w:line="360" w:lineRule="auto"/>
        <w:ind w:firstLine="420" w:firstLineChars="200"/>
        <w:jc w:val="center"/>
        <w:rPr>
          <w:rFonts w:ascii="宋体" w:hAnsi="宋体" w:cs="宋体"/>
        </w:rPr>
      </w:pPr>
      <w:r>
        <w:rPr>
          <w:rFonts w:ascii="宋体" w:hAnsi="宋体" w:cs="宋体"/>
        </w:rPr>
        <w:t xml:space="preserve">                             </w:t>
      </w:r>
    </w:p>
    <w:p>
      <w:pPr>
        <w:spacing w:line="360" w:lineRule="auto"/>
        <w:ind w:firstLine="420" w:firstLineChars="200"/>
        <w:jc w:val="left"/>
        <w:rPr>
          <w:rFonts w:ascii="宋体" w:hAnsi="宋体" w:cs="宋体"/>
        </w:rPr>
      </w:pPr>
      <w:r>
        <w:rPr>
          <w:rFonts w:hint="eastAsia" w:ascii="宋体" w:hAnsi="宋体" w:cs="宋体"/>
        </w:rPr>
        <w:t>该类产品调研企业产能占行业产能的</w:t>
      </w:r>
      <w:r>
        <w:rPr>
          <w:rFonts w:ascii="宋体" w:hAnsi="宋体" w:cs="宋体"/>
        </w:rPr>
        <w:t>60%，通过对比数据，通用值选取数值为调研占比的75%，先进值的选取占调研占比的15%。</w:t>
      </w:r>
    </w:p>
    <w:p>
      <w:pPr>
        <w:spacing w:line="360" w:lineRule="auto"/>
        <w:ind w:firstLine="420" w:firstLineChars="200"/>
        <w:jc w:val="center"/>
        <w:rPr>
          <w:rFonts w:ascii="宋体" w:hAnsi="宋体" w:cs="宋体"/>
        </w:rPr>
      </w:pPr>
      <w:r>
        <w:rPr>
          <w:rFonts w:hint="eastAsia" w:ascii="宋体" w:hAnsi="宋体" w:cs="宋体"/>
        </w:rPr>
        <w:t>化学处理毛条生产企业技术指标</w:t>
      </w:r>
    </w:p>
    <w:tbl>
      <w:tblPr>
        <w:tblStyle w:val="2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223"/>
        <w:gridCol w:w="992"/>
        <w:gridCol w:w="988"/>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187" w:type="dxa"/>
            <w:vAlign w:val="center"/>
          </w:tcPr>
          <w:p>
            <w:pPr>
              <w:spacing w:line="360" w:lineRule="auto"/>
              <w:jc w:val="center"/>
              <w:rPr>
                <w:rFonts w:ascii="宋体" w:hAnsi="宋体" w:cs="宋体"/>
              </w:rPr>
            </w:pPr>
            <w:r>
              <w:rPr>
                <w:rFonts w:hint="eastAsia" w:ascii="宋体" w:hAnsi="宋体" w:cs="宋体"/>
              </w:rPr>
              <w:t>调研企业</w:t>
            </w:r>
          </w:p>
        </w:tc>
        <w:tc>
          <w:tcPr>
            <w:tcW w:w="1223" w:type="dxa"/>
            <w:vAlign w:val="center"/>
          </w:tcPr>
          <w:p>
            <w:pPr>
              <w:spacing w:line="360" w:lineRule="auto"/>
              <w:jc w:val="center"/>
              <w:rPr>
                <w:rFonts w:ascii="宋体" w:hAnsi="宋体" w:cs="宋体"/>
              </w:rPr>
            </w:pPr>
            <w:r>
              <w:rPr>
                <w:rFonts w:hint="eastAsia" w:ascii="宋体" w:hAnsi="宋体" w:cs="宋体"/>
              </w:rPr>
              <w:t>产能行业占比</w:t>
            </w:r>
          </w:p>
        </w:tc>
        <w:tc>
          <w:tcPr>
            <w:tcW w:w="992" w:type="dxa"/>
            <w:vAlign w:val="center"/>
          </w:tcPr>
          <w:p>
            <w:pPr>
              <w:spacing w:line="360" w:lineRule="auto"/>
              <w:jc w:val="center"/>
              <w:rPr>
                <w:rFonts w:ascii="宋体" w:hAnsi="宋体" w:cs="宋体"/>
              </w:rPr>
            </w:pPr>
            <w:r>
              <w:rPr>
                <w:rFonts w:hint="eastAsia" w:ascii="宋体" w:hAnsi="宋体" w:cs="宋体"/>
              </w:rPr>
              <w:t>单位产品取水量</w:t>
            </w:r>
          </w:p>
        </w:tc>
        <w:tc>
          <w:tcPr>
            <w:tcW w:w="988" w:type="dxa"/>
            <w:vAlign w:val="center"/>
          </w:tcPr>
          <w:p>
            <w:pPr>
              <w:spacing w:line="360" w:lineRule="auto"/>
              <w:jc w:val="center"/>
              <w:rPr>
                <w:rFonts w:ascii="宋体" w:hAnsi="宋体" w:cs="宋体"/>
              </w:rPr>
            </w:pPr>
            <w:r>
              <w:rPr>
                <w:rFonts w:hint="eastAsia" w:ascii="宋体" w:hAnsi="宋体" w:cs="宋体"/>
              </w:rPr>
              <w:t>水重复利用率</w:t>
            </w:r>
          </w:p>
        </w:tc>
        <w:tc>
          <w:tcPr>
            <w:tcW w:w="1134" w:type="dxa"/>
            <w:vAlign w:val="center"/>
          </w:tcPr>
          <w:p>
            <w:pPr>
              <w:spacing w:line="360" w:lineRule="auto"/>
              <w:jc w:val="center"/>
              <w:rPr>
                <w:rFonts w:ascii="宋体" w:hAnsi="宋体" w:cs="宋体"/>
              </w:rPr>
            </w:pPr>
            <w:r>
              <w:rPr>
                <w:rFonts w:hint="eastAsia" w:ascii="宋体" w:hAnsi="宋体" w:cs="宋体"/>
              </w:rPr>
              <w:t>间接循环水利用率</w:t>
            </w:r>
          </w:p>
        </w:tc>
        <w:tc>
          <w:tcPr>
            <w:tcW w:w="1134"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34" w:type="dxa"/>
            <w:vAlign w:val="center"/>
          </w:tcPr>
          <w:p>
            <w:pPr>
              <w:spacing w:line="360" w:lineRule="auto"/>
              <w:jc w:val="center"/>
              <w:rPr>
                <w:rFonts w:hint="eastAsia" w:ascii="宋体" w:hAnsi="宋体" w:cs="宋体"/>
              </w:rPr>
            </w:pPr>
            <w:r>
              <w:rPr>
                <w:rFonts w:hint="eastAsia" w:ascii="宋体" w:hAnsi="宋体" w:cs="宋体"/>
              </w:rPr>
              <w:t>用水综合漏失率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1223" w:type="dxa"/>
          </w:tcPr>
          <w:p>
            <w:pPr>
              <w:spacing w:line="360" w:lineRule="auto"/>
              <w:jc w:val="center"/>
              <w:rPr>
                <w:rFonts w:ascii="宋体" w:hAnsi="宋体" w:cs="宋体"/>
              </w:rPr>
            </w:pPr>
            <w:r>
              <w:rPr>
                <w:rFonts w:ascii="宋体" w:hAnsi="宋体" w:cs="宋体"/>
              </w:rPr>
              <w:t>20%</w:t>
            </w:r>
          </w:p>
        </w:tc>
        <w:tc>
          <w:tcPr>
            <w:tcW w:w="992" w:type="dxa"/>
          </w:tcPr>
          <w:p>
            <w:pPr>
              <w:spacing w:line="360" w:lineRule="auto"/>
              <w:jc w:val="center"/>
              <w:rPr>
                <w:rFonts w:ascii="宋体" w:hAnsi="宋体" w:cs="宋体"/>
              </w:rPr>
            </w:pPr>
            <w:r>
              <w:rPr>
                <w:rFonts w:ascii="宋体" w:hAnsi="宋体" w:cs="宋体"/>
              </w:rPr>
              <w:t>15.1</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1223" w:type="dxa"/>
          </w:tcPr>
          <w:p>
            <w:pPr>
              <w:spacing w:line="360" w:lineRule="auto"/>
              <w:jc w:val="center"/>
              <w:rPr>
                <w:rFonts w:ascii="宋体" w:hAnsi="宋体" w:cs="宋体"/>
              </w:rPr>
            </w:pPr>
            <w:r>
              <w:rPr>
                <w:rFonts w:ascii="宋体" w:hAnsi="宋体" w:cs="宋体"/>
              </w:rPr>
              <w:t>15%</w:t>
            </w:r>
          </w:p>
        </w:tc>
        <w:tc>
          <w:tcPr>
            <w:tcW w:w="992" w:type="dxa"/>
          </w:tcPr>
          <w:p>
            <w:pPr>
              <w:spacing w:line="360" w:lineRule="auto"/>
              <w:jc w:val="center"/>
              <w:rPr>
                <w:rFonts w:ascii="宋体" w:hAnsi="宋体" w:cs="宋体"/>
              </w:rPr>
            </w:pPr>
            <w:r>
              <w:rPr>
                <w:rFonts w:ascii="宋体" w:hAnsi="宋体" w:cs="宋体"/>
              </w:rPr>
              <w:t>14.4</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企业3</w:t>
            </w:r>
          </w:p>
        </w:tc>
        <w:tc>
          <w:tcPr>
            <w:tcW w:w="1223" w:type="dxa"/>
          </w:tcPr>
          <w:p>
            <w:pPr>
              <w:spacing w:line="360" w:lineRule="auto"/>
              <w:jc w:val="center"/>
              <w:rPr>
                <w:rFonts w:ascii="宋体" w:hAnsi="宋体" w:cs="宋体"/>
              </w:rPr>
            </w:pPr>
            <w:r>
              <w:rPr>
                <w:rFonts w:ascii="宋体" w:hAnsi="宋体" w:cs="宋体"/>
              </w:rPr>
              <w:t>10%</w:t>
            </w:r>
          </w:p>
        </w:tc>
        <w:tc>
          <w:tcPr>
            <w:tcW w:w="992" w:type="dxa"/>
          </w:tcPr>
          <w:p>
            <w:pPr>
              <w:spacing w:line="360" w:lineRule="auto"/>
              <w:jc w:val="center"/>
              <w:rPr>
                <w:rFonts w:ascii="宋体" w:hAnsi="宋体" w:cs="宋体"/>
              </w:rPr>
            </w:pPr>
            <w:r>
              <w:rPr>
                <w:rFonts w:ascii="宋体" w:hAnsi="宋体" w:cs="宋体"/>
              </w:rPr>
              <w:t>12.5</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企业4</w:t>
            </w:r>
          </w:p>
        </w:tc>
        <w:tc>
          <w:tcPr>
            <w:tcW w:w="1223" w:type="dxa"/>
          </w:tcPr>
          <w:p>
            <w:pPr>
              <w:spacing w:line="360" w:lineRule="auto"/>
              <w:jc w:val="center"/>
              <w:rPr>
                <w:rFonts w:ascii="宋体" w:hAnsi="宋体" w:cs="宋体"/>
              </w:rPr>
            </w:pPr>
            <w:r>
              <w:rPr>
                <w:rFonts w:ascii="宋体" w:hAnsi="宋体" w:cs="宋体"/>
              </w:rPr>
              <w:t>10%</w:t>
            </w:r>
          </w:p>
        </w:tc>
        <w:tc>
          <w:tcPr>
            <w:tcW w:w="992" w:type="dxa"/>
          </w:tcPr>
          <w:p>
            <w:pPr>
              <w:spacing w:line="360" w:lineRule="auto"/>
              <w:jc w:val="center"/>
              <w:rPr>
                <w:rFonts w:ascii="宋体" w:hAnsi="宋体" w:cs="宋体"/>
              </w:rPr>
            </w:pPr>
            <w:r>
              <w:rPr>
                <w:rFonts w:ascii="宋体" w:hAnsi="宋体" w:cs="宋体"/>
              </w:rPr>
              <w:t>11.8</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企业5</w:t>
            </w:r>
          </w:p>
        </w:tc>
        <w:tc>
          <w:tcPr>
            <w:tcW w:w="1223" w:type="dxa"/>
          </w:tcPr>
          <w:p>
            <w:pPr>
              <w:spacing w:line="360" w:lineRule="auto"/>
              <w:jc w:val="center"/>
              <w:rPr>
                <w:rFonts w:ascii="宋体" w:hAnsi="宋体" w:cs="宋体"/>
              </w:rPr>
            </w:pPr>
            <w:r>
              <w:rPr>
                <w:rFonts w:ascii="宋体" w:hAnsi="宋体" w:cs="宋体"/>
              </w:rPr>
              <w:t>10%</w:t>
            </w:r>
          </w:p>
        </w:tc>
        <w:tc>
          <w:tcPr>
            <w:tcW w:w="992" w:type="dxa"/>
          </w:tcPr>
          <w:p>
            <w:pPr>
              <w:spacing w:line="360" w:lineRule="auto"/>
              <w:jc w:val="center"/>
              <w:rPr>
                <w:rFonts w:ascii="宋体" w:hAnsi="宋体" w:cs="宋体"/>
              </w:rPr>
            </w:pPr>
            <w:r>
              <w:rPr>
                <w:rFonts w:ascii="宋体" w:hAnsi="宋体" w:cs="宋体"/>
              </w:rPr>
              <w:t>11.2</w:t>
            </w: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Align w:val="center"/>
          </w:tcPr>
          <w:p>
            <w:pPr>
              <w:spacing w:line="360" w:lineRule="auto"/>
              <w:jc w:val="center"/>
              <w:rPr>
                <w:rFonts w:ascii="宋体" w:hAnsi="宋体" w:cs="宋体"/>
              </w:rPr>
            </w:pPr>
            <w:r>
              <w:rPr>
                <w:rFonts w:hint="eastAsia" w:ascii="宋体" w:hAnsi="宋体" w:cs="宋体"/>
              </w:rPr>
              <w:t>合计</w:t>
            </w:r>
          </w:p>
        </w:tc>
        <w:tc>
          <w:tcPr>
            <w:tcW w:w="1223" w:type="dxa"/>
          </w:tcPr>
          <w:p>
            <w:pPr>
              <w:spacing w:line="360" w:lineRule="auto"/>
              <w:jc w:val="center"/>
              <w:rPr>
                <w:rFonts w:ascii="宋体" w:hAnsi="宋体" w:cs="宋体"/>
              </w:rPr>
            </w:pPr>
            <w:r>
              <w:rPr>
                <w:rFonts w:ascii="宋体" w:hAnsi="宋体" w:cs="宋体"/>
              </w:rPr>
              <w:t>65%</w:t>
            </w:r>
          </w:p>
        </w:tc>
        <w:tc>
          <w:tcPr>
            <w:tcW w:w="992" w:type="dxa"/>
            <w:vAlign w:val="center"/>
          </w:tcPr>
          <w:p>
            <w:pPr>
              <w:spacing w:line="360" w:lineRule="auto"/>
              <w:jc w:val="center"/>
              <w:rPr>
                <w:rFonts w:ascii="宋体" w:hAnsi="宋体" w:cs="宋体"/>
              </w:rPr>
            </w:pPr>
          </w:p>
        </w:tc>
        <w:tc>
          <w:tcPr>
            <w:tcW w:w="988" w:type="dxa"/>
            <w:vAlign w:val="center"/>
          </w:tcPr>
          <w:p>
            <w:pPr>
              <w:spacing w:line="360" w:lineRule="auto"/>
              <w:jc w:val="center"/>
              <w:rPr>
                <w:rFonts w:ascii="宋体" w:hAnsi="宋体" w:cs="宋体"/>
              </w:rPr>
            </w:pPr>
          </w:p>
        </w:tc>
        <w:tc>
          <w:tcPr>
            <w:tcW w:w="1134" w:type="dxa"/>
            <w:vAlign w:val="center"/>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c>
          <w:tcPr>
            <w:tcW w:w="1134" w:type="dxa"/>
          </w:tcPr>
          <w:p>
            <w:pPr>
              <w:spacing w:line="360" w:lineRule="auto"/>
              <w:jc w:val="center"/>
              <w:rPr>
                <w:rFonts w:ascii="宋体" w:hAnsi="宋体" w:cs="宋体"/>
              </w:rPr>
            </w:pPr>
          </w:p>
        </w:tc>
      </w:tr>
    </w:tbl>
    <w:p>
      <w:pPr>
        <w:spacing w:line="360" w:lineRule="auto"/>
        <w:ind w:firstLine="420" w:firstLineChars="200"/>
        <w:jc w:val="center"/>
        <w:rPr>
          <w:rFonts w:ascii="宋体" w:hAnsi="宋体" w:cs="宋体"/>
        </w:rPr>
      </w:pPr>
      <w:r>
        <w:rPr>
          <w:rFonts w:ascii="宋体" w:hAnsi="宋体" w:cs="宋体"/>
        </w:rPr>
        <w:t xml:space="preserve">                                      </w:t>
      </w:r>
    </w:p>
    <w:p>
      <w:pPr>
        <w:spacing w:line="360" w:lineRule="auto"/>
        <w:ind w:firstLine="420" w:firstLineChars="200"/>
        <w:jc w:val="left"/>
        <w:rPr>
          <w:rFonts w:ascii="宋体" w:hAnsi="宋体" w:cs="宋体"/>
        </w:rPr>
      </w:pPr>
      <w:bookmarkStart w:id="68" w:name="_Hlk120655269"/>
      <w:r>
        <w:rPr>
          <w:rFonts w:hint="eastAsia" w:ascii="宋体" w:hAnsi="宋体" w:cs="宋体"/>
        </w:rPr>
        <w:t>该类产品调研企业产能占行业产能的</w:t>
      </w:r>
      <w:r>
        <w:rPr>
          <w:rFonts w:ascii="宋体" w:hAnsi="宋体" w:cs="宋体"/>
        </w:rPr>
        <w:t>65%，通过对比数据，通用值选取数值为调研占比的69%，</w:t>
      </w:r>
      <w:r>
        <w:rPr>
          <w:rFonts w:hint="eastAsia" w:ascii="宋体" w:hAnsi="宋体" w:cs="宋体"/>
        </w:rPr>
        <w:t>平均数为1</w:t>
      </w:r>
      <w:r>
        <w:rPr>
          <w:rFonts w:ascii="宋体" w:hAnsi="宋体" w:cs="宋体"/>
        </w:rPr>
        <w:t>5m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先进值的选取占调研占比的30%</w:t>
      </w:r>
      <w:r>
        <w:rPr>
          <w:rFonts w:hint="eastAsia" w:ascii="宋体" w:hAnsi="宋体" w:cs="宋体"/>
        </w:rPr>
        <w:t>，平均数为1</w:t>
      </w:r>
      <w:r>
        <w:rPr>
          <w:rFonts w:ascii="宋体" w:hAnsi="宋体" w:cs="宋体"/>
        </w:rPr>
        <w:t>2 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w:t>
      </w:r>
    </w:p>
    <w:p>
      <w:pPr>
        <w:spacing w:line="360" w:lineRule="auto"/>
        <w:ind w:firstLine="420" w:firstLineChars="200"/>
        <w:jc w:val="center"/>
        <w:rPr>
          <w:rFonts w:ascii="宋体" w:hAnsi="宋体" w:cs="宋体"/>
        </w:rPr>
      </w:pPr>
      <w:r>
        <w:rPr>
          <w:rFonts w:hint="eastAsia" w:ascii="宋体" w:hAnsi="宋体" w:cs="宋体"/>
        </w:rPr>
        <w:t>精纺毛纱线生产企业技术指标</w:t>
      </w:r>
      <w:r>
        <w:rPr>
          <w:rFonts w:ascii="宋体" w:hAnsi="宋体" w:cs="宋体"/>
        </w:rPr>
        <w:t xml:space="preserve">        </w:t>
      </w:r>
    </w:p>
    <w:tbl>
      <w:tblPr>
        <w:tblStyle w:val="2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979"/>
        <w:gridCol w:w="974"/>
        <w:gridCol w:w="965"/>
        <w:gridCol w:w="1105"/>
        <w:gridCol w:w="1105"/>
        <w:gridCol w:w="1105"/>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0" w:type="dxa"/>
            <w:vAlign w:val="center"/>
          </w:tcPr>
          <w:p>
            <w:pPr>
              <w:spacing w:line="360" w:lineRule="auto"/>
              <w:jc w:val="center"/>
              <w:rPr>
                <w:rFonts w:ascii="宋体" w:hAnsi="宋体" w:cs="宋体"/>
              </w:rPr>
            </w:pPr>
            <w:r>
              <w:rPr>
                <w:rFonts w:hint="eastAsia" w:ascii="宋体" w:hAnsi="宋体" w:cs="宋体"/>
              </w:rPr>
              <w:t>调研企业</w:t>
            </w:r>
          </w:p>
        </w:tc>
        <w:tc>
          <w:tcPr>
            <w:tcW w:w="979" w:type="dxa"/>
            <w:vAlign w:val="center"/>
          </w:tcPr>
          <w:p>
            <w:pPr>
              <w:spacing w:line="360" w:lineRule="auto"/>
              <w:jc w:val="center"/>
              <w:rPr>
                <w:rFonts w:ascii="宋体" w:hAnsi="宋体" w:cs="宋体"/>
              </w:rPr>
            </w:pPr>
            <w:r>
              <w:rPr>
                <w:rFonts w:hint="eastAsia" w:ascii="宋体" w:hAnsi="宋体" w:cs="宋体"/>
              </w:rPr>
              <w:t>产能行业占比</w:t>
            </w:r>
          </w:p>
        </w:tc>
        <w:tc>
          <w:tcPr>
            <w:tcW w:w="974" w:type="dxa"/>
            <w:vAlign w:val="center"/>
          </w:tcPr>
          <w:p>
            <w:pPr>
              <w:spacing w:line="360" w:lineRule="auto"/>
              <w:jc w:val="center"/>
              <w:rPr>
                <w:rFonts w:ascii="宋体" w:hAnsi="宋体" w:cs="宋体"/>
              </w:rPr>
            </w:pPr>
            <w:r>
              <w:rPr>
                <w:rFonts w:hint="eastAsia" w:ascii="宋体" w:hAnsi="宋体" w:cs="宋体"/>
              </w:rPr>
              <w:t>单位产品取水量</w:t>
            </w:r>
          </w:p>
        </w:tc>
        <w:tc>
          <w:tcPr>
            <w:tcW w:w="965" w:type="dxa"/>
            <w:vAlign w:val="center"/>
          </w:tcPr>
          <w:p>
            <w:pPr>
              <w:spacing w:line="360" w:lineRule="auto"/>
              <w:jc w:val="center"/>
              <w:rPr>
                <w:rFonts w:ascii="宋体" w:hAnsi="宋体" w:cs="宋体"/>
              </w:rPr>
            </w:pPr>
            <w:r>
              <w:rPr>
                <w:rFonts w:hint="eastAsia" w:ascii="宋体" w:hAnsi="宋体" w:cs="宋体"/>
              </w:rPr>
              <w:t>水重复利用率</w:t>
            </w:r>
          </w:p>
        </w:tc>
        <w:tc>
          <w:tcPr>
            <w:tcW w:w="1105" w:type="dxa"/>
            <w:vAlign w:val="center"/>
          </w:tcPr>
          <w:p>
            <w:pPr>
              <w:spacing w:line="360" w:lineRule="auto"/>
              <w:jc w:val="center"/>
              <w:rPr>
                <w:rFonts w:ascii="宋体" w:hAnsi="宋体" w:cs="宋体"/>
              </w:rPr>
            </w:pPr>
            <w:r>
              <w:rPr>
                <w:rFonts w:hint="eastAsia" w:ascii="宋体" w:hAnsi="宋体" w:cs="宋体"/>
              </w:rPr>
              <w:t>间接循环水利用率</w:t>
            </w:r>
          </w:p>
        </w:tc>
        <w:tc>
          <w:tcPr>
            <w:tcW w:w="1105"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05" w:type="dxa"/>
            <w:vAlign w:val="center"/>
          </w:tcPr>
          <w:p>
            <w:pPr>
              <w:spacing w:line="360" w:lineRule="auto"/>
              <w:jc w:val="center"/>
              <w:rPr>
                <w:rFonts w:hint="eastAsia" w:ascii="宋体" w:hAnsi="宋体" w:cs="宋体"/>
              </w:rPr>
            </w:pPr>
            <w:r>
              <w:rPr>
                <w:rFonts w:hint="eastAsia" w:ascii="宋体" w:hAnsi="宋体" w:cs="宋体"/>
              </w:rPr>
              <w:t>用水综合漏失率</w:t>
            </w:r>
          </w:p>
        </w:tc>
        <w:tc>
          <w:tcPr>
            <w:tcW w:w="1297" w:type="dxa"/>
            <w:vAlign w:val="center"/>
          </w:tcPr>
          <w:p>
            <w:pPr>
              <w:spacing w:line="360" w:lineRule="auto"/>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105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绞染为主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85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有绞纱染色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企业3</w:t>
            </w:r>
          </w:p>
        </w:tc>
        <w:tc>
          <w:tcPr>
            <w:tcW w:w="979" w:type="dxa"/>
          </w:tcPr>
          <w:p>
            <w:pPr>
              <w:spacing w:line="360" w:lineRule="auto"/>
              <w:jc w:val="center"/>
              <w:rPr>
                <w:rFonts w:ascii="宋体" w:hAnsi="宋体" w:cs="宋体"/>
              </w:rPr>
            </w:pPr>
            <w:r>
              <w:rPr>
                <w:rFonts w:ascii="宋体" w:hAnsi="宋体" w:cs="宋体"/>
              </w:rPr>
              <w:t>6%</w:t>
            </w:r>
          </w:p>
        </w:tc>
        <w:tc>
          <w:tcPr>
            <w:tcW w:w="974" w:type="dxa"/>
          </w:tcPr>
          <w:p>
            <w:pPr>
              <w:spacing w:line="360" w:lineRule="auto"/>
              <w:jc w:val="center"/>
              <w:rPr>
                <w:rFonts w:ascii="宋体" w:hAnsi="宋体" w:cs="宋体"/>
              </w:rPr>
            </w:pPr>
            <w:r>
              <w:rPr>
                <w:rFonts w:ascii="宋体" w:hAnsi="宋体" w:cs="宋体"/>
              </w:rPr>
              <w:t>80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企业4</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72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企业5</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60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企业6</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90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绞染为主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企业7</w:t>
            </w:r>
          </w:p>
        </w:tc>
        <w:tc>
          <w:tcPr>
            <w:tcW w:w="979" w:type="dxa"/>
          </w:tcPr>
          <w:p>
            <w:pPr>
              <w:spacing w:line="360" w:lineRule="auto"/>
              <w:jc w:val="center"/>
              <w:rPr>
                <w:rFonts w:ascii="宋体" w:hAnsi="宋体" w:cs="宋体"/>
              </w:rPr>
            </w:pPr>
            <w:r>
              <w:rPr>
                <w:rFonts w:ascii="宋体" w:hAnsi="宋体" w:cs="宋体"/>
              </w:rPr>
              <w:t>8%</w:t>
            </w:r>
          </w:p>
        </w:tc>
        <w:tc>
          <w:tcPr>
            <w:tcW w:w="974" w:type="dxa"/>
          </w:tcPr>
          <w:p>
            <w:pPr>
              <w:spacing w:line="360" w:lineRule="auto"/>
              <w:jc w:val="center"/>
              <w:rPr>
                <w:rFonts w:ascii="宋体" w:hAnsi="宋体" w:cs="宋体"/>
              </w:rPr>
            </w:pPr>
            <w:r>
              <w:rPr>
                <w:rFonts w:ascii="宋体" w:hAnsi="宋体" w:cs="宋体"/>
              </w:rPr>
              <w:t>120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企业8</w:t>
            </w:r>
          </w:p>
        </w:tc>
        <w:tc>
          <w:tcPr>
            <w:tcW w:w="979" w:type="dxa"/>
          </w:tcPr>
          <w:p>
            <w:pPr>
              <w:spacing w:line="360" w:lineRule="auto"/>
              <w:jc w:val="center"/>
              <w:rPr>
                <w:rFonts w:ascii="宋体" w:hAnsi="宋体" w:cs="宋体"/>
              </w:rPr>
            </w:pPr>
            <w:r>
              <w:rPr>
                <w:rFonts w:ascii="宋体" w:hAnsi="宋体" w:cs="宋体"/>
              </w:rPr>
              <w:t>5%</w:t>
            </w:r>
          </w:p>
        </w:tc>
        <w:tc>
          <w:tcPr>
            <w:tcW w:w="974" w:type="dxa"/>
          </w:tcPr>
          <w:p>
            <w:pPr>
              <w:spacing w:line="360" w:lineRule="auto"/>
              <w:jc w:val="center"/>
              <w:rPr>
                <w:rFonts w:ascii="宋体" w:hAnsi="宋体" w:cs="宋体"/>
              </w:rPr>
            </w:pPr>
            <w:r>
              <w:rPr>
                <w:rFonts w:ascii="宋体" w:hAnsi="宋体" w:cs="宋体"/>
              </w:rPr>
              <w:t>110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企业9</w:t>
            </w:r>
          </w:p>
        </w:tc>
        <w:tc>
          <w:tcPr>
            <w:tcW w:w="979" w:type="dxa"/>
          </w:tcPr>
          <w:p>
            <w:pPr>
              <w:spacing w:line="360" w:lineRule="auto"/>
              <w:jc w:val="center"/>
              <w:rPr>
                <w:rFonts w:ascii="宋体" w:hAnsi="宋体" w:cs="宋体"/>
              </w:rPr>
            </w:pPr>
            <w:r>
              <w:rPr>
                <w:rFonts w:ascii="宋体" w:hAnsi="宋体" w:cs="宋体"/>
              </w:rPr>
              <w:t>6%</w:t>
            </w:r>
          </w:p>
        </w:tc>
        <w:tc>
          <w:tcPr>
            <w:tcW w:w="974" w:type="dxa"/>
          </w:tcPr>
          <w:p>
            <w:pPr>
              <w:spacing w:line="360" w:lineRule="auto"/>
              <w:jc w:val="center"/>
              <w:rPr>
                <w:rFonts w:ascii="宋体" w:hAnsi="宋体" w:cs="宋体"/>
              </w:rPr>
            </w:pPr>
            <w:r>
              <w:rPr>
                <w:rFonts w:ascii="宋体" w:hAnsi="宋体" w:cs="宋体"/>
              </w:rPr>
              <w:t>100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0</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92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90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合计</w:t>
            </w:r>
          </w:p>
        </w:tc>
        <w:tc>
          <w:tcPr>
            <w:tcW w:w="979" w:type="dxa"/>
          </w:tcPr>
          <w:p>
            <w:pPr>
              <w:spacing w:line="360" w:lineRule="auto"/>
              <w:jc w:val="center"/>
              <w:rPr>
                <w:rFonts w:ascii="宋体" w:hAnsi="宋体" w:cs="宋体"/>
              </w:rPr>
            </w:pPr>
            <w:r>
              <w:rPr>
                <w:rFonts w:ascii="宋体" w:hAnsi="宋体" w:cs="宋体"/>
              </w:rPr>
              <w:t>44%</w:t>
            </w:r>
          </w:p>
        </w:tc>
        <w:tc>
          <w:tcPr>
            <w:tcW w:w="974" w:type="dxa"/>
            <w:vAlign w:val="center"/>
          </w:tcPr>
          <w:p>
            <w:pPr>
              <w:spacing w:line="360" w:lineRule="auto"/>
              <w:jc w:val="center"/>
              <w:rPr>
                <w:rFonts w:ascii="宋体" w:hAnsi="宋体" w:cs="宋体"/>
              </w:rPr>
            </w:pP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bl>
    <w:p>
      <w:pPr>
        <w:spacing w:line="360" w:lineRule="auto"/>
        <w:ind w:firstLine="420" w:firstLineChars="200"/>
        <w:jc w:val="center"/>
        <w:rPr>
          <w:rFonts w:ascii="宋体" w:hAnsi="宋体" w:cs="宋体"/>
        </w:rPr>
      </w:pPr>
      <w:r>
        <w:rPr>
          <w:rFonts w:ascii="宋体" w:hAnsi="宋体" w:cs="宋体"/>
        </w:rPr>
        <w:t xml:space="preserve">                                            </w:t>
      </w:r>
    </w:p>
    <w:bookmarkEnd w:id="68"/>
    <w:p>
      <w:pPr>
        <w:spacing w:line="360" w:lineRule="auto"/>
        <w:ind w:firstLine="420" w:firstLineChars="200"/>
        <w:jc w:val="left"/>
        <w:rPr>
          <w:rFonts w:ascii="宋体" w:hAnsi="宋体" w:cs="宋体"/>
        </w:rPr>
      </w:pPr>
      <w:r>
        <w:rPr>
          <w:rFonts w:ascii="宋体" w:hAnsi="宋体" w:cs="宋体"/>
        </w:rPr>
        <w:t xml:space="preserve"> 精纺毛纱线染色方式有毛条染色、筒子染色、绞纱染色，其中绞纱染色用水较高（见表5），一般企业同时具有几种染色方式，调研数据是根据年总产量和总用水量统算而得到的单位产品取水量，本标准综合考虑了加工工艺和设备的影响因素，给出了统一指标，符合生产实际情况，引导企业使用节水设备，使标准的可操作性更强。精梳毛纱线产品调研企业产能占行业产能的44%，通过对比数据，通用值选取数值为调研占比的76.2%，</w:t>
      </w:r>
      <w:r>
        <w:rPr>
          <w:rFonts w:hint="eastAsia" w:ascii="宋体" w:hAnsi="宋体" w:cs="宋体"/>
        </w:rPr>
        <w:t>平均数为8</w:t>
      </w:r>
      <w:r>
        <w:rPr>
          <w:rFonts w:ascii="宋体" w:hAnsi="宋体" w:cs="宋体"/>
        </w:rPr>
        <w:t>0m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先进值的选取占调研占比的14.3%</w:t>
      </w:r>
      <w:r>
        <w:rPr>
          <w:rFonts w:hint="eastAsia" w:ascii="宋体" w:hAnsi="宋体" w:cs="宋体"/>
        </w:rPr>
        <w:t>，平均数为</w:t>
      </w:r>
      <w:r>
        <w:rPr>
          <w:rFonts w:ascii="宋体" w:hAnsi="宋体" w:cs="宋体"/>
        </w:rPr>
        <w:t>70m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。羊绒为主的精梳毛纱线产品通用值选取数值为调研占比的65.2%，</w:t>
      </w:r>
      <w:r>
        <w:rPr>
          <w:rFonts w:hint="eastAsia" w:ascii="宋体" w:hAnsi="宋体" w:cs="宋体"/>
        </w:rPr>
        <w:t>平均数为1</w:t>
      </w:r>
      <w:r>
        <w:rPr>
          <w:rFonts w:ascii="宋体" w:hAnsi="宋体" w:cs="宋体"/>
        </w:rPr>
        <w:t>10m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先进值</w:t>
      </w:r>
      <w:r>
        <w:rPr>
          <w:rFonts w:hint="eastAsia" w:ascii="宋体" w:hAnsi="宋体" w:cs="宋体"/>
        </w:rPr>
        <w:t>占比</w:t>
      </w:r>
      <w:r>
        <w:rPr>
          <w:rFonts w:ascii="宋体" w:hAnsi="宋体" w:cs="宋体"/>
        </w:rPr>
        <w:t>17.4%</w:t>
      </w:r>
      <w:r>
        <w:rPr>
          <w:rFonts w:hint="eastAsia" w:ascii="宋体" w:hAnsi="宋体" w:cs="宋体"/>
        </w:rPr>
        <w:t>，平均数为</w:t>
      </w:r>
      <w:r>
        <w:rPr>
          <w:rFonts w:ascii="宋体" w:hAnsi="宋体" w:cs="宋体"/>
        </w:rPr>
        <w:t>92m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w:t>
      </w:r>
    </w:p>
    <w:p>
      <w:pPr>
        <w:pStyle w:val="2"/>
        <w:outlineLvl w:val="9"/>
        <w:rPr>
          <w:rFonts w:hint="eastAsia"/>
        </w:rPr>
      </w:pPr>
    </w:p>
    <w:p>
      <w:pPr>
        <w:spacing w:line="360" w:lineRule="auto"/>
        <w:ind w:firstLine="420" w:firstLineChars="200"/>
        <w:jc w:val="center"/>
        <w:rPr>
          <w:rFonts w:ascii="宋体" w:hAnsi="宋体" w:cs="宋体"/>
        </w:rPr>
      </w:pPr>
      <w:bookmarkStart w:id="69" w:name="_Hlk120658328"/>
      <w:r>
        <w:rPr>
          <w:rFonts w:hint="eastAsia" w:ascii="宋体" w:hAnsi="宋体" w:cs="宋体"/>
        </w:rPr>
        <w:t>粗纺（半精纺）毛纱线生产企业技术指标</w:t>
      </w:r>
      <w:r>
        <w:rPr>
          <w:rFonts w:ascii="宋体" w:hAnsi="宋体" w:cs="宋体"/>
        </w:rPr>
        <w:t xml:space="preserve">          </w:t>
      </w:r>
    </w:p>
    <w:tbl>
      <w:tblPr>
        <w:tblStyle w:val="2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979"/>
        <w:gridCol w:w="974"/>
        <w:gridCol w:w="965"/>
        <w:gridCol w:w="1105"/>
        <w:gridCol w:w="1105"/>
        <w:gridCol w:w="1105"/>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0" w:type="dxa"/>
            <w:vAlign w:val="center"/>
          </w:tcPr>
          <w:p>
            <w:pPr>
              <w:spacing w:line="360" w:lineRule="auto"/>
              <w:jc w:val="center"/>
              <w:rPr>
                <w:rFonts w:ascii="宋体" w:hAnsi="宋体" w:cs="宋体"/>
              </w:rPr>
            </w:pPr>
            <w:r>
              <w:rPr>
                <w:rFonts w:hint="eastAsia" w:ascii="宋体" w:hAnsi="宋体" w:cs="宋体"/>
              </w:rPr>
              <w:t>调研企业</w:t>
            </w:r>
          </w:p>
        </w:tc>
        <w:tc>
          <w:tcPr>
            <w:tcW w:w="979" w:type="dxa"/>
            <w:vAlign w:val="center"/>
          </w:tcPr>
          <w:p>
            <w:pPr>
              <w:spacing w:line="360" w:lineRule="auto"/>
              <w:jc w:val="center"/>
              <w:rPr>
                <w:rFonts w:ascii="宋体" w:hAnsi="宋体" w:cs="宋体"/>
              </w:rPr>
            </w:pPr>
            <w:r>
              <w:rPr>
                <w:rFonts w:hint="eastAsia" w:ascii="宋体" w:hAnsi="宋体" w:cs="宋体"/>
              </w:rPr>
              <w:t>产能行业占比</w:t>
            </w:r>
          </w:p>
        </w:tc>
        <w:tc>
          <w:tcPr>
            <w:tcW w:w="974" w:type="dxa"/>
            <w:vAlign w:val="center"/>
          </w:tcPr>
          <w:p>
            <w:pPr>
              <w:spacing w:line="360" w:lineRule="auto"/>
              <w:jc w:val="center"/>
              <w:rPr>
                <w:rFonts w:ascii="宋体" w:hAnsi="宋体" w:cs="宋体"/>
              </w:rPr>
            </w:pPr>
            <w:r>
              <w:rPr>
                <w:rFonts w:hint="eastAsia" w:ascii="宋体" w:hAnsi="宋体" w:cs="宋体"/>
              </w:rPr>
              <w:t>单位产品取水量</w:t>
            </w:r>
          </w:p>
        </w:tc>
        <w:tc>
          <w:tcPr>
            <w:tcW w:w="965" w:type="dxa"/>
            <w:vAlign w:val="center"/>
          </w:tcPr>
          <w:p>
            <w:pPr>
              <w:spacing w:line="360" w:lineRule="auto"/>
              <w:jc w:val="center"/>
              <w:rPr>
                <w:rFonts w:ascii="宋体" w:hAnsi="宋体" w:cs="宋体"/>
              </w:rPr>
            </w:pPr>
            <w:r>
              <w:rPr>
                <w:rFonts w:hint="eastAsia" w:ascii="宋体" w:hAnsi="宋体" w:cs="宋体"/>
              </w:rPr>
              <w:t>水重复利用率</w:t>
            </w:r>
          </w:p>
        </w:tc>
        <w:tc>
          <w:tcPr>
            <w:tcW w:w="1105" w:type="dxa"/>
            <w:vAlign w:val="center"/>
          </w:tcPr>
          <w:p>
            <w:pPr>
              <w:spacing w:line="360" w:lineRule="auto"/>
              <w:jc w:val="center"/>
              <w:rPr>
                <w:rFonts w:ascii="宋体" w:hAnsi="宋体" w:cs="宋体"/>
              </w:rPr>
            </w:pPr>
            <w:r>
              <w:rPr>
                <w:rFonts w:hint="eastAsia" w:ascii="宋体" w:hAnsi="宋体" w:cs="宋体"/>
              </w:rPr>
              <w:t>间接循环水利用率</w:t>
            </w:r>
          </w:p>
        </w:tc>
        <w:tc>
          <w:tcPr>
            <w:tcW w:w="1105"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05" w:type="dxa"/>
            <w:vAlign w:val="center"/>
          </w:tcPr>
          <w:p>
            <w:pPr>
              <w:spacing w:line="360" w:lineRule="auto"/>
              <w:jc w:val="center"/>
              <w:rPr>
                <w:rFonts w:hint="eastAsia" w:ascii="宋体" w:hAnsi="宋体" w:cs="宋体"/>
              </w:rPr>
            </w:pPr>
            <w:r>
              <w:rPr>
                <w:rFonts w:hint="eastAsia" w:ascii="宋体" w:hAnsi="宋体" w:cs="宋体"/>
              </w:rPr>
              <w:t>用水综合漏失率</w:t>
            </w:r>
          </w:p>
        </w:tc>
        <w:tc>
          <w:tcPr>
            <w:tcW w:w="1297" w:type="dxa"/>
            <w:vAlign w:val="center"/>
          </w:tcPr>
          <w:p>
            <w:pPr>
              <w:spacing w:line="360" w:lineRule="auto"/>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80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75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企业3</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72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企业4</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70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企业5</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70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企业6</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60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企业7</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92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企业8</w:t>
            </w:r>
          </w:p>
        </w:tc>
        <w:tc>
          <w:tcPr>
            <w:tcW w:w="979" w:type="dxa"/>
          </w:tcPr>
          <w:p>
            <w:pPr>
              <w:spacing w:line="360" w:lineRule="auto"/>
              <w:jc w:val="center"/>
              <w:rPr>
                <w:rFonts w:ascii="宋体" w:hAnsi="宋体" w:cs="宋体"/>
              </w:rPr>
            </w:pPr>
            <w:r>
              <w:rPr>
                <w:rFonts w:ascii="宋体" w:hAnsi="宋体" w:cs="宋体"/>
              </w:rPr>
              <w:t>6%</w:t>
            </w:r>
          </w:p>
        </w:tc>
        <w:tc>
          <w:tcPr>
            <w:tcW w:w="974" w:type="dxa"/>
          </w:tcPr>
          <w:p>
            <w:pPr>
              <w:spacing w:line="360" w:lineRule="auto"/>
              <w:jc w:val="center"/>
              <w:rPr>
                <w:rFonts w:ascii="宋体" w:hAnsi="宋体" w:cs="宋体"/>
              </w:rPr>
            </w:pPr>
            <w:r>
              <w:rPr>
                <w:rFonts w:ascii="宋体" w:hAnsi="宋体" w:cs="宋体"/>
              </w:rPr>
              <w:t>90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企业9</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87</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0</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85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80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78</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合计</w:t>
            </w:r>
          </w:p>
        </w:tc>
        <w:tc>
          <w:tcPr>
            <w:tcW w:w="979" w:type="dxa"/>
          </w:tcPr>
          <w:p>
            <w:pPr>
              <w:spacing w:line="360" w:lineRule="auto"/>
              <w:jc w:val="center"/>
              <w:rPr>
                <w:rFonts w:ascii="宋体" w:hAnsi="宋体" w:cs="宋体"/>
              </w:rPr>
            </w:pPr>
            <w:r>
              <w:rPr>
                <w:rFonts w:ascii="宋体" w:hAnsi="宋体" w:cs="宋体"/>
              </w:rPr>
              <w:t>36%</w:t>
            </w:r>
          </w:p>
        </w:tc>
        <w:tc>
          <w:tcPr>
            <w:tcW w:w="974" w:type="dxa"/>
          </w:tcPr>
          <w:p>
            <w:pPr>
              <w:spacing w:line="360" w:lineRule="auto"/>
              <w:jc w:val="center"/>
              <w:rPr>
                <w:rFonts w:ascii="宋体" w:hAnsi="宋体" w:cs="宋体"/>
              </w:rPr>
            </w:pPr>
            <w:r>
              <w:rPr>
                <w:rFonts w:ascii="宋体" w:hAnsi="宋体" w:cs="宋体"/>
              </w:rPr>
              <w:t>-</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bookmarkEnd w:id="69"/>
    </w:tbl>
    <w:p>
      <w:pPr>
        <w:spacing w:line="360" w:lineRule="auto"/>
        <w:ind w:firstLine="420" w:firstLineChars="200"/>
        <w:jc w:val="left"/>
        <w:rPr>
          <w:rFonts w:ascii="宋体" w:hAnsi="宋体" w:cs="宋体"/>
        </w:rPr>
      </w:pPr>
      <w:r>
        <w:rPr>
          <w:rFonts w:hint="eastAsia" w:ascii="宋体" w:hAnsi="宋体" w:cs="宋体"/>
        </w:rPr>
        <w:t>粗纺（半精纺）毛纱线产品调研企业产能占行业产能的</w:t>
      </w:r>
      <w:r>
        <w:rPr>
          <w:rFonts w:ascii="宋体" w:hAnsi="宋体" w:cs="宋体"/>
        </w:rPr>
        <w:t>36%，通过对比数据，通用值选取数值为调研占比的80%，</w:t>
      </w:r>
      <w:r>
        <w:rPr>
          <w:rFonts w:hint="eastAsia" w:ascii="宋体" w:hAnsi="宋体" w:cs="宋体"/>
        </w:rPr>
        <w:t>平均数为</w:t>
      </w:r>
      <w:r>
        <w:rPr>
          <w:rFonts w:ascii="宋体" w:hAnsi="宋体" w:cs="宋体"/>
        </w:rPr>
        <w:t>75m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先进值的选取占调研占比的15%</w:t>
      </w:r>
      <w:r>
        <w:rPr>
          <w:rFonts w:hint="eastAsia" w:ascii="宋体" w:hAnsi="宋体" w:cs="宋体"/>
        </w:rPr>
        <w:t>，平均数为</w:t>
      </w:r>
      <w:r>
        <w:rPr>
          <w:rFonts w:ascii="宋体" w:hAnsi="宋体" w:cs="宋体"/>
        </w:rPr>
        <w:t>65m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。羊绒为主的粗纺（半精纺）毛纱线产品通用值选取数值为调研占比的85%，</w:t>
      </w:r>
      <w:r>
        <w:rPr>
          <w:rFonts w:hint="eastAsia" w:ascii="宋体" w:hAnsi="宋体" w:cs="宋体"/>
        </w:rPr>
        <w:t>平均数为</w:t>
      </w:r>
      <w:r>
        <w:rPr>
          <w:rFonts w:ascii="宋体" w:hAnsi="宋体" w:cs="宋体"/>
        </w:rPr>
        <w:t>90m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先进值为23%</w:t>
      </w:r>
      <w:r>
        <w:rPr>
          <w:rFonts w:hint="eastAsia" w:ascii="宋体" w:hAnsi="宋体" w:cs="宋体"/>
        </w:rPr>
        <w:t>，平均数为</w:t>
      </w:r>
      <w:r>
        <w:rPr>
          <w:rFonts w:ascii="宋体" w:hAnsi="宋体" w:cs="宋体"/>
        </w:rPr>
        <w:t>80m</w:t>
      </w:r>
      <w:r>
        <w:rPr>
          <w:rFonts w:ascii="宋体" w:hAnsi="宋体" w:cs="宋体"/>
          <w:vertAlign w:val="superscript"/>
        </w:rPr>
        <w:t>3</w:t>
      </w:r>
      <w:r>
        <w:rPr>
          <w:rFonts w:ascii="宋体" w:hAnsi="宋体" w:cs="宋体"/>
        </w:rPr>
        <w:t>/</w:t>
      </w:r>
      <w:r>
        <w:rPr>
          <w:rFonts w:hint="eastAsia" w:ascii="宋体" w:hAnsi="宋体" w:cs="宋体"/>
        </w:rPr>
        <w:t>t</w:t>
      </w:r>
      <w:r>
        <w:rPr>
          <w:rFonts w:ascii="宋体" w:hAnsi="宋体" w:cs="宋体"/>
        </w:rPr>
        <w:t>。</w:t>
      </w:r>
    </w:p>
    <w:p>
      <w:pPr>
        <w:spacing w:line="360" w:lineRule="auto"/>
        <w:ind w:firstLine="420" w:firstLineChars="200"/>
        <w:jc w:val="center"/>
        <w:rPr>
          <w:rFonts w:ascii="宋体" w:hAnsi="宋体" w:cs="宋体"/>
        </w:rPr>
      </w:pPr>
      <w:bookmarkStart w:id="70" w:name="_Hlk120659196"/>
      <w:r>
        <w:rPr>
          <w:rFonts w:hint="eastAsia" w:ascii="宋体" w:hAnsi="宋体" w:cs="宋体"/>
        </w:rPr>
        <w:t>精梳毛织物生产企业技术指标</w:t>
      </w:r>
      <w:r>
        <w:rPr>
          <w:rFonts w:ascii="宋体" w:hAnsi="宋体" w:cs="宋体"/>
        </w:rPr>
        <w:t xml:space="preserve">            </w:t>
      </w:r>
    </w:p>
    <w:tbl>
      <w:tblPr>
        <w:tblStyle w:val="2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979"/>
        <w:gridCol w:w="974"/>
        <w:gridCol w:w="965"/>
        <w:gridCol w:w="1105"/>
        <w:gridCol w:w="1105"/>
        <w:gridCol w:w="1105"/>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0" w:type="dxa"/>
            <w:vAlign w:val="center"/>
          </w:tcPr>
          <w:p>
            <w:pPr>
              <w:spacing w:line="360" w:lineRule="auto"/>
              <w:jc w:val="center"/>
              <w:rPr>
                <w:rFonts w:ascii="宋体" w:hAnsi="宋体" w:cs="宋体"/>
              </w:rPr>
            </w:pPr>
            <w:r>
              <w:rPr>
                <w:rFonts w:hint="eastAsia" w:ascii="宋体" w:hAnsi="宋体" w:cs="宋体"/>
              </w:rPr>
              <w:t>调研企业</w:t>
            </w:r>
          </w:p>
        </w:tc>
        <w:tc>
          <w:tcPr>
            <w:tcW w:w="979" w:type="dxa"/>
            <w:vAlign w:val="center"/>
          </w:tcPr>
          <w:p>
            <w:pPr>
              <w:spacing w:line="360" w:lineRule="auto"/>
              <w:jc w:val="center"/>
              <w:rPr>
                <w:rFonts w:ascii="宋体" w:hAnsi="宋体" w:cs="宋体"/>
              </w:rPr>
            </w:pPr>
            <w:r>
              <w:rPr>
                <w:rFonts w:hint="eastAsia" w:ascii="宋体" w:hAnsi="宋体" w:cs="宋体"/>
              </w:rPr>
              <w:t>产能行业占比</w:t>
            </w:r>
          </w:p>
        </w:tc>
        <w:tc>
          <w:tcPr>
            <w:tcW w:w="974" w:type="dxa"/>
            <w:vAlign w:val="center"/>
          </w:tcPr>
          <w:p>
            <w:pPr>
              <w:spacing w:line="360" w:lineRule="auto"/>
              <w:jc w:val="center"/>
              <w:rPr>
                <w:rFonts w:ascii="宋体" w:hAnsi="宋体" w:cs="宋体"/>
              </w:rPr>
            </w:pPr>
            <w:r>
              <w:rPr>
                <w:rFonts w:hint="eastAsia" w:ascii="宋体" w:hAnsi="宋体" w:cs="宋体"/>
              </w:rPr>
              <w:t>单位产品取水量</w:t>
            </w:r>
          </w:p>
        </w:tc>
        <w:tc>
          <w:tcPr>
            <w:tcW w:w="965" w:type="dxa"/>
            <w:vAlign w:val="center"/>
          </w:tcPr>
          <w:p>
            <w:pPr>
              <w:spacing w:line="360" w:lineRule="auto"/>
              <w:jc w:val="center"/>
              <w:rPr>
                <w:rFonts w:ascii="宋体" w:hAnsi="宋体" w:cs="宋体"/>
              </w:rPr>
            </w:pPr>
            <w:r>
              <w:rPr>
                <w:rFonts w:hint="eastAsia" w:ascii="宋体" w:hAnsi="宋体" w:cs="宋体"/>
              </w:rPr>
              <w:t>水重复利用率</w:t>
            </w:r>
          </w:p>
        </w:tc>
        <w:tc>
          <w:tcPr>
            <w:tcW w:w="1105" w:type="dxa"/>
            <w:vAlign w:val="center"/>
          </w:tcPr>
          <w:p>
            <w:pPr>
              <w:spacing w:line="360" w:lineRule="auto"/>
              <w:jc w:val="center"/>
              <w:rPr>
                <w:rFonts w:ascii="宋体" w:hAnsi="宋体" w:cs="宋体"/>
              </w:rPr>
            </w:pPr>
            <w:r>
              <w:rPr>
                <w:rFonts w:hint="eastAsia" w:ascii="宋体" w:hAnsi="宋体" w:cs="宋体"/>
              </w:rPr>
              <w:t>间接循环水利用率</w:t>
            </w:r>
          </w:p>
        </w:tc>
        <w:tc>
          <w:tcPr>
            <w:tcW w:w="1105"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05" w:type="dxa"/>
            <w:vAlign w:val="center"/>
          </w:tcPr>
          <w:p>
            <w:pPr>
              <w:spacing w:line="360" w:lineRule="auto"/>
              <w:jc w:val="center"/>
              <w:rPr>
                <w:rFonts w:hint="eastAsia" w:ascii="宋体" w:hAnsi="宋体" w:cs="宋体"/>
              </w:rPr>
            </w:pPr>
            <w:r>
              <w:rPr>
                <w:rFonts w:hint="eastAsia" w:ascii="宋体" w:hAnsi="宋体" w:cs="宋体"/>
              </w:rPr>
              <w:t>用水综合漏失率</w:t>
            </w:r>
          </w:p>
        </w:tc>
        <w:tc>
          <w:tcPr>
            <w:tcW w:w="1297" w:type="dxa"/>
            <w:vAlign w:val="center"/>
          </w:tcPr>
          <w:p>
            <w:pPr>
              <w:spacing w:line="360" w:lineRule="auto"/>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14.6</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14.0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企业3</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13.8</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企业4</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13.5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企业5</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13.5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企业6</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12.0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企业7</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10.7</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企业8</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19.2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企业9</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18.9</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0</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18.5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1%</w:t>
            </w:r>
          </w:p>
        </w:tc>
        <w:tc>
          <w:tcPr>
            <w:tcW w:w="974" w:type="dxa"/>
          </w:tcPr>
          <w:p>
            <w:pPr>
              <w:spacing w:line="360" w:lineRule="auto"/>
              <w:jc w:val="center"/>
              <w:rPr>
                <w:rFonts w:ascii="宋体" w:hAnsi="宋体" w:cs="宋体"/>
              </w:rPr>
            </w:pPr>
            <w:r>
              <w:rPr>
                <w:rFonts w:ascii="宋体" w:hAnsi="宋体" w:cs="宋体"/>
              </w:rPr>
              <w:t>17.5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16.0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合计</w:t>
            </w:r>
          </w:p>
        </w:tc>
        <w:tc>
          <w:tcPr>
            <w:tcW w:w="979" w:type="dxa"/>
          </w:tcPr>
          <w:p>
            <w:pPr>
              <w:spacing w:line="360" w:lineRule="auto"/>
              <w:jc w:val="center"/>
              <w:rPr>
                <w:rFonts w:ascii="宋体" w:hAnsi="宋体" w:cs="宋体"/>
              </w:rPr>
            </w:pPr>
            <w:r>
              <w:rPr>
                <w:rFonts w:ascii="宋体" w:hAnsi="宋体" w:cs="宋体"/>
              </w:rPr>
              <w:t>32%</w:t>
            </w:r>
          </w:p>
        </w:tc>
        <w:tc>
          <w:tcPr>
            <w:tcW w:w="974" w:type="dxa"/>
          </w:tcPr>
          <w:p>
            <w:pPr>
              <w:spacing w:line="360" w:lineRule="auto"/>
              <w:jc w:val="center"/>
              <w:rPr>
                <w:rFonts w:ascii="宋体" w:hAnsi="宋体" w:cs="宋体"/>
              </w:rPr>
            </w:pPr>
            <w:r>
              <w:rPr>
                <w:rFonts w:ascii="宋体" w:hAnsi="宋体" w:cs="宋体"/>
              </w:rPr>
              <w:t>-</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bookmarkEnd w:id="70"/>
    </w:tbl>
    <w:p>
      <w:pPr>
        <w:spacing w:line="360" w:lineRule="auto"/>
        <w:ind w:firstLine="420" w:firstLineChars="200"/>
        <w:jc w:val="left"/>
        <w:rPr>
          <w:rFonts w:ascii="宋体" w:hAnsi="宋体" w:cs="宋体"/>
        </w:rPr>
      </w:pPr>
      <w:r>
        <w:rPr>
          <w:rFonts w:hint="eastAsia" w:ascii="宋体" w:hAnsi="宋体" w:cs="宋体"/>
        </w:rPr>
        <w:t>精梳毛织物产品调研企业产能占行业产能的</w:t>
      </w:r>
      <w:r>
        <w:rPr>
          <w:rFonts w:ascii="宋体" w:hAnsi="宋体" w:cs="宋体"/>
        </w:rPr>
        <w:t>33%，通过对比数据，通用值选取数值为调研占比的80.9%，</w:t>
      </w:r>
      <w:r>
        <w:rPr>
          <w:rFonts w:hint="eastAsia" w:ascii="宋体" w:hAnsi="宋体" w:cs="宋体"/>
        </w:rPr>
        <w:t>平均数为</w:t>
      </w:r>
      <w:r>
        <w:rPr>
          <w:rFonts w:ascii="宋体" w:hAnsi="宋体" w:cs="宋体"/>
        </w:rPr>
        <w:t>14m</w:t>
      </w:r>
      <w:r>
        <w:rPr>
          <w:rFonts w:ascii="宋体" w:hAnsi="宋体" w:cs="宋体"/>
          <w:vertAlign w:val="superscript"/>
        </w:rPr>
        <w:t>3</w:t>
      </w:r>
      <w:r>
        <w:rPr>
          <w:rFonts w:ascii="宋体" w:hAnsi="宋体" w:cs="宋体"/>
        </w:rPr>
        <w:t>/</w:t>
      </w:r>
      <w:r>
        <w:rPr>
          <w:rFonts w:hint="eastAsia" w:ascii="宋体" w:hAnsi="宋体" w:cs="宋体"/>
        </w:rPr>
        <w:t>1</w:t>
      </w:r>
      <w:r>
        <w:rPr>
          <w:rFonts w:ascii="宋体" w:hAnsi="宋体" w:cs="宋体"/>
        </w:rPr>
        <w:t>00m</w:t>
      </w:r>
      <w:r>
        <w:rPr>
          <w:rFonts w:hint="eastAsia" w:ascii="宋体" w:hAnsi="宋体" w:cs="宋体"/>
        </w:rPr>
        <w:t>，</w:t>
      </w:r>
      <w:r>
        <w:rPr>
          <w:rFonts w:ascii="宋体" w:hAnsi="宋体" w:cs="宋体"/>
        </w:rPr>
        <w:t>先进值的选取占调研占比的18%</w:t>
      </w:r>
      <w:r>
        <w:rPr>
          <w:rFonts w:hint="eastAsia" w:ascii="宋体" w:hAnsi="宋体" w:cs="宋体"/>
        </w:rPr>
        <w:t>，平均数为</w:t>
      </w:r>
      <w:r>
        <w:rPr>
          <w:rFonts w:ascii="宋体" w:hAnsi="宋体" w:cs="宋体"/>
        </w:rPr>
        <w:t>12m</w:t>
      </w:r>
      <w:r>
        <w:rPr>
          <w:rFonts w:ascii="宋体" w:hAnsi="宋体" w:cs="宋体"/>
          <w:vertAlign w:val="superscript"/>
        </w:rPr>
        <w:t>3</w:t>
      </w:r>
      <w:r>
        <w:rPr>
          <w:rFonts w:ascii="宋体" w:hAnsi="宋体" w:cs="宋体"/>
        </w:rPr>
        <w:t>/100</w:t>
      </w:r>
      <w:r>
        <w:rPr>
          <w:rFonts w:hint="eastAsia" w:ascii="宋体" w:hAnsi="宋体" w:cs="宋体"/>
        </w:rPr>
        <w:t>m</w:t>
      </w:r>
      <w:r>
        <w:rPr>
          <w:rFonts w:ascii="宋体" w:hAnsi="宋体" w:cs="宋体"/>
        </w:rPr>
        <w:t>。羊绒为主的精梳毛织物产品通用值选取数值为调研占比的81.8%，</w:t>
      </w:r>
      <w:r>
        <w:rPr>
          <w:rFonts w:hint="eastAsia" w:ascii="宋体" w:hAnsi="宋体" w:cs="宋体"/>
        </w:rPr>
        <w:t>平均数为</w:t>
      </w:r>
      <w:r>
        <w:rPr>
          <w:rFonts w:ascii="宋体" w:hAnsi="宋体" w:cs="宋体"/>
        </w:rPr>
        <w:t>19m</w:t>
      </w:r>
      <w:r>
        <w:rPr>
          <w:rFonts w:ascii="宋体" w:hAnsi="宋体" w:cs="宋体"/>
          <w:vertAlign w:val="superscript"/>
        </w:rPr>
        <w:t>3</w:t>
      </w:r>
      <w:r>
        <w:rPr>
          <w:rFonts w:ascii="宋体" w:hAnsi="宋体" w:cs="宋体"/>
        </w:rPr>
        <w:t>/100m</w:t>
      </w:r>
      <w:r>
        <w:rPr>
          <w:rFonts w:hint="eastAsia" w:ascii="宋体" w:hAnsi="宋体" w:cs="宋体"/>
        </w:rPr>
        <w:t>，</w:t>
      </w:r>
      <w:r>
        <w:rPr>
          <w:rFonts w:ascii="宋体" w:hAnsi="宋体" w:cs="宋体"/>
        </w:rPr>
        <w:t>先进值为18.2%</w:t>
      </w:r>
      <w:r>
        <w:rPr>
          <w:rFonts w:hint="eastAsia" w:ascii="宋体" w:hAnsi="宋体" w:cs="宋体"/>
        </w:rPr>
        <w:t>，平均数为</w:t>
      </w:r>
      <w:r>
        <w:rPr>
          <w:rFonts w:ascii="宋体" w:hAnsi="宋体" w:cs="宋体"/>
        </w:rPr>
        <w:t>16m</w:t>
      </w:r>
      <w:r>
        <w:rPr>
          <w:rFonts w:ascii="宋体" w:hAnsi="宋体" w:cs="宋体"/>
          <w:vertAlign w:val="superscript"/>
        </w:rPr>
        <w:t>3</w:t>
      </w:r>
      <w:r>
        <w:rPr>
          <w:rFonts w:ascii="宋体" w:hAnsi="宋体" w:cs="宋体"/>
        </w:rPr>
        <w:t>/100</w:t>
      </w:r>
      <w:r>
        <w:rPr>
          <w:rFonts w:hint="eastAsia" w:ascii="宋体" w:hAnsi="宋体" w:cs="宋体"/>
        </w:rPr>
        <w:t>m</w:t>
      </w:r>
      <w:r>
        <w:rPr>
          <w:rFonts w:ascii="宋体" w:hAnsi="宋体" w:cs="宋体"/>
        </w:rPr>
        <w:t>。</w:t>
      </w:r>
    </w:p>
    <w:p>
      <w:pPr>
        <w:spacing w:line="360" w:lineRule="auto"/>
        <w:ind w:firstLine="420" w:firstLineChars="200"/>
        <w:jc w:val="center"/>
        <w:rPr>
          <w:rFonts w:ascii="宋体" w:hAnsi="宋体" w:cs="宋体"/>
        </w:rPr>
      </w:pPr>
      <w:r>
        <w:rPr>
          <w:rFonts w:hint="eastAsia" w:ascii="宋体" w:hAnsi="宋体" w:cs="宋体"/>
        </w:rPr>
        <w:t>粗梳毛织物生产企业技术指标</w:t>
      </w:r>
      <w:r>
        <w:rPr>
          <w:rFonts w:ascii="宋体" w:hAnsi="宋体" w:cs="宋体"/>
        </w:rPr>
        <w:t xml:space="preserve">         </w:t>
      </w:r>
    </w:p>
    <w:tbl>
      <w:tblPr>
        <w:tblStyle w:val="2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979"/>
        <w:gridCol w:w="974"/>
        <w:gridCol w:w="965"/>
        <w:gridCol w:w="1105"/>
        <w:gridCol w:w="1105"/>
        <w:gridCol w:w="1105"/>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0" w:type="dxa"/>
            <w:vAlign w:val="center"/>
          </w:tcPr>
          <w:p>
            <w:pPr>
              <w:spacing w:line="360" w:lineRule="auto"/>
              <w:jc w:val="center"/>
              <w:rPr>
                <w:rFonts w:ascii="宋体" w:hAnsi="宋体" w:cs="宋体"/>
              </w:rPr>
            </w:pPr>
            <w:r>
              <w:rPr>
                <w:rFonts w:hint="eastAsia" w:ascii="宋体" w:hAnsi="宋体" w:cs="宋体"/>
              </w:rPr>
              <w:t>调研企业</w:t>
            </w:r>
          </w:p>
        </w:tc>
        <w:tc>
          <w:tcPr>
            <w:tcW w:w="979" w:type="dxa"/>
            <w:vAlign w:val="center"/>
          </w:tcPr>
          <w:p>
            <w:pPr>
              <w:spacing w:line="360" w:lineRule="auto"/>
              <w:jc w:val="center"/>
              <w:rPr>
                <w:rFonts w:ascii="宋体" w:hAnsi="宋体" w:cs="宋体"/>
              </w:rPr>
            </w:pPr>
            <w:r>
              <w:rPr>
                <w:rFonts w:hint="eastAsia" w:ascii="宋体" w:hAnsi="宋体" w:cs="宋体"/>
              </w:rPr>
              <w:t>产能行业占比</w:t>
            </w:r>
          </w:p>
        </w:tc>
        <w:tc>
          <w:tcPr>
            <w:tcW w:w="974" w:type="dxa"/>
            <w:vAlign w:val="center"/>
          </w:tcPr>
          <w:p>
            <w:pPr>
              <w:spacing w:line="360" w:lineRule="auto"/>
              <w:jc w:val="center"/>
              <w:rPr>
                <w:rFonts w:ascii="宋体" w:hAnsi="宋体" w:cs="宋体"/>
              </w:rPr>
            </w:pPr>
            <w:r>
              <w:rPr>
                <w:rFonts w:hint="eastAsia" w:ascii="宋体" w:hAnsi="宋体" w:cs="宋体"/>
              </w:rPr>
              <w:t>单位产品取水量</w:t>
            </w:r>
          </w:p>
        </w:tc>
        <w:tc>
          <w:tcPr>
            <w:tcW w:w="965" w:type="dxa"/>
            <w:vAlign w:val="center"/>
          </w:tcPr>
          <w:p>
            <w:pPr>
              <w:spacing w:line="360" w:lineRule="auto"/>
              <w:jc w:val="center"/>
              <w:rPr>
                <w:rFonts w:ascii="宋体" w:hAnsi="宋体" w:cs="宋体"/>
              </w:rPr>
            </w:pPr>
            <w:r>
              <w:rPr>
                <w:rFonts w:hint="eastAsia" w:ascii="宋体" w:hAnsi="宋体" w:cs="宋体"/>
              </w:rPr>
              <w:t>水重复利用率</w:t>
            </w:r>
          </w:p>
        </w:tc>
        <w:tc>
          <w:tcPr>
            <w:tcW w:w="1105" w:type="dxa"/>
            <w:vAlign w:val="center"/>
          </w:tcPr>
          <w:p>
            <w:pPr>
              <w:spacing w:line="360" w:lineRule="auto"/>
              <w:jc w:val="center"/>
              <w:rPr>
                <w:rFonts w:ascii="宋体" w:hAnsi="宋体" w:cs="宋体"/>
              </w:rPr>
            </w:pPr>
            <w:r>
              <w:rPr>
                <w:rFonts w:hint="eastAsia" w:ascii="宋体" w:hAnsi="宋体" w:cs="宋体"/>
              </w:rPr>
              <w:t>间接循环水利用率</w:t>
            </w:r>
          </w:p>
        </w:tc>
        <w:tc>
          <w:tcPr>
            <w:tcW w:w="1105"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05" w:type="dxa"/>
            <w:vAlign w:val="center"/>
          </w:tcPr>
          <w:p>
            <w:pPr>
              <w:spacing w:line="360" w:lineRule="auto"/>
              <w:jc w:val="center"/>
              <w:rPr>
                <w:rFonts w:hint="eastAsia" w:ascii="宋体" w:hAnsi="宋体" w:cs="宋体"/>
              </w:rPr>
            </w:pPr>
            <w:r>
              <w:rPr>
                <w:rFonts w:hint="eastAsia" w:ascii="宋体" w:hAnsi="宋体" w:cs="宋体"/>
              </w:rPr>
              <w:t>用水综合漏失率</w:t>
            </w:r>
          </w:p>
        </w:tc>
        <w:tc>
          <w:tcPr>
            <w:tcW w:w="1297" w:type="dxa"/>
            <w:vAlign w:val="center"/>
          </w:tcPr>
          <w:p>
            <w:pPr>
              <w:spacing w:line="360" w:lineRule="auto"/>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23.5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22.0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企业3</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19.2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企业4</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18.0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企业5</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17.0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企业6</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14.9</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企业7</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13.2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企业8</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30.7</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企业9</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26.0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0</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24.8</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1%</w:t>
            </w:r>
          </w:p>
        </w:tc>
        <w:tc>
          <w:tcPr>
            <w:tcW w:w="974" w:type="dxa"/>
          </w:tcPr>
          <w:p>
            <w:pPr>
              <w:spacing w:line="360" w:lineRule="auto"/>
              <w:jc w:val="center"/>
              <w:rPr>
                <w:rFonts w:ascii="宋体" w:hAnsi="宋体" w:cs="宋体"/>
              </w:rPr>
            </w:pPr>
            <w:r>
              <w:rPr>
                <w:rFonts w:ascii="宋体" w:hAnsi="宋体" w:cs="宋体"/>
              </w:rPr>
              <w:t>22.0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合计</w:t>
            </w:r>
          </w:p>
        </w:tc>
        <w:tc>
          <w:tcPr>
            <w:tcW w:w="979" w:type="dxa"/>
          </w:tcPr>
          <w:p>
            <w:pPr>
              <w:spacing w:line="360" w:lineRule="auto"/>
              <w:jc w:val="center"/>
              <w:rPr>
                <w:rFonts w:ascii="宋体" w:hAnsi="宋体" w:cs="宋体"/>
              </w:rPr>
            </w:pPr>
            <w:r>
              <w:rPr>
                <w:rFonts w:ascii="宋体" w:hAnsi="宋体" w:cs="宋体"/>
              </w:rPr>
              <w:t>1%</w:t>
            </w:r>
          </w:p>
        </w:tc>
        <w:tc>
          <w:tcPr>
            <w:tcW w:w="974" w:type="dxa"/>
          </w:tcPr>
          <w:p>
            <w:pPr>
              <w:spacing w:line="360" w:lineRule="auto"/>
              <w:jc w:val="center"/>
              <w:rPr>
                <w:rFonts w:ascii="宋体" w:hAnsi="宋体" w:cs="宋体"/>
              </w:rPr>
            </w:pPr>
            <w:r>
              <w:rPr>
                <w:rFonts w:ascii="宋体" w:hAnsi="宋体" w:cs="宋体"/>
              </w:rPr>
              <w:t>22.0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p>
        </w:tc>
        <w:tc>
          <w:tcPr>
            <w:tcW w:w="979" w:type="dxa"/>
          </w:tcPr>
          <w:p>
            <w:pPr>
              <w:spacing w:line="360" w:lineRule="auto"/>
              <w:jc w:val="center"/>
              <w:rPr>
                <w:rFonts w:ascii="宋体" w:hAnsi="宋体" w:cs="宋体"/>
              </w:rPr>
            </w:pPr>
            <w:r>
              <w:rPr>
                <w:rFonts w:ascii="宋体" w:hAnsi="宋体" w:cs="宋体"/>
              </w:rPr>
              <w:t>30%</w:t>
            </w:r>
          </w:p>
        </w:tc>
        <w:tc>
          <w:tcPr>
            <w:tcW w:w="974" w:type="dxa"/>
          </w:tcPr>
          <w:p>
            <w:pPr>
              <w:spacing w:line="360" w:lineRule="auto"/>
              <w:jc w:val="center"/>
              <w:rPr>
                <w:rFonts w:ascii="宋体" w:hAnsi="宋体" w:cs="宋体"/>
              </w:rPr>
            </w:pP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bl>
    <w:p>
      <w:pPr>
        <w:spacing w:line="360" w:lineRule="auto"/>
        <w:ind w:firstLine="420" w:firstLineChars="200"/>
        <w:jc w:val="left"/>
        <w:rPr>
          <w:rFonts w:ascii="宋体" w:hAnsi="宋体" w:cs="宋体"/>
        </w:rPr>
      </w:pPr>
      <w:r>
        <w:rPr>
          <w:rFonts w:hint="eastAsia" w:ascii="宋体" w:hAnsi="宋体" w:cs="宋体"/>
        </w:rPr>
        <w:t>粗梳毛织物产品调研企业产能占行业产能的</w:t>
      </w:r>
      <w:r>
        <w:rPr>
          <w:rFonts w:ascii="宋体" w:hAnsi="宋体" w:cs="宋体"/>
        </w:rPr>
        <w:t>30%，通过对比数据，通用值选取数值为调研占比的75%，</w:t>
      </w:r>
      <w:r>
        <w:rPr>
          <w:rFonts w:hint="eastAsia" w:ascii="宋体" w:hAnsi="宋体" w:cs="宋体"/>
        </w:rPr>
        <w:t>平均数为</w:t>
      </w:r>
      <w:r>
        <w:rPr>
          <w:rFonts w:ascii="宋体" w:hAnsi="宋体" w:cs="宋体"/>
        </w:rPr>
        <w:t>20m</w:t>
      </w:r>
      <w:r>
        <w:rPr>
          <w:rFonts w:ascii="宋体" w:hAnsi="宋体" w:cs="宋体"/>
          <w:vertAlign w:val="superscript"/>
        </w:rPr>
        <w:t>3</w:t>
      </w:r>
      <w:r>
        <w:rPr>
          <w:rFonts w:ascii="宋体" w:hAnsi="宋体" w:cs="宋体"/>
        </w:rPr>
        <w:t>/100</w:t>
      </w:r>
      <w:r>
        <w:rPr>
          <w:rFonts w:hint="eastAsia" w:ascii="宋体" w:hAnsi="宋体" w:cs="宋体"/>
        </w:rPr>
        <w:t>m，</w:t>
      </w:r>
      <w:r>
        <w:rPr>
          <w:rFonts w:ascii="宋体" w:hAnsi="宋体" w:cs="宋体"/>
        </w:rPr>
        <w:t>先进值的选取占调研占比的30%</w:t>
      </w:r>
      <w:r>
        <w:rPr>
          <w:rFonts w:hint="eastAsia" w:ascii="宋体" w:hAnsi="宋体" w:cs="宋体"/>
        </w:rPr>
        <w:t>，平均数为</w:t>
      </w:r>
      <w:r>
        <w:rPr>
          <w:rFonts w:ascii="宋体" w:hAnsi="宋体" w:cs="宋体"/>
        </w:rPr>
        <w:t>17m</w:t>
      </w:r>
      <w:r>
        <w:rPr>
          <w:rFonts w:ascii="宋体" w:hAnsi="宋体" w:cs="宋体"/>
          <w:vertAlign w:val="superscript"/>
        </w:rPr>
        <w:t>3</w:t>
      </w:r>
      <w:r>
        <w:rPr>
          <w:rFonts w:ascii="宋体" w:hAnsi="宋体" w:cs="宋体"/>
        </w:rPr>
        <w:t>/100</w:t>
      </w:r>
      <w:r>
        <w:rPr>
          <w:rFonts w:hint="eastAsia" w:ascii="宋体" w:hAnsi="宋体" w:cs="宋体"/>
        </w:rPr>
        <w:t>m</w:t>
      </w:r>
      <w:r>
        <w:rPr>
          <w:rFonts w:ascii="宋体" w:hAnsi="宋体" w:cs="宋体"/>
        </w:rPr>
        <w:t>。羊绒为主的精梳毛织物产品通用值选取数值为调研占比的60%，</w:t>
      </w:r>
      <w:r>
        <w:rPr>
          <w:rFonts w:hint="eastAsia" w:ascii="宋体" w:hAnsi="宋体" w:cs="宋体"/>
        </w:rPr>
        <w:t>平均数为</w:t>
      </w:r>
      <w:r>
        <w:rPr>
          <w:rFonts w:ascii="宋体" w:hAnsi="宋体" w:cs="宋体"/>
        </w:rPr>
        <w:t>26m</w:t>
      </w:r>
      <w:r>
        <w:rPr>
          <w:rFonts w:ascii="宋体" w:hAnsi="宋体" w:cs="宋体"/>
          <w:vertAlign w:val="superscript"/>
        </w:rPr>
        <w:t>3</w:t>
      </w:r>
      <w:r>
        <w:rPr>
          <w:rFonts w:ascii="宋体" w:hAnsi="宋体" w:cs="宋体"/>
        </w:rPr>
        <w:t>/100</w:t>
      </w:r>
      <w:r>
        <w:rPr>
          <w:rFonts w:hint="eastAsia" w:ascii="宋体" w:hAnsi="宋体" w:cs="宋体"/>
        </w:rPr>
        <w:t>m，</w:t>
      </w:r>
      <w:r>
        <w:rPr>
          <w:rFonts w:ascii="宋体" w:hAnsi="宋体" w:cs="宋体"/>
        </w:rPr>
        <w:t>先进值为20%</w:t>
      </w:r>
      <w:r>
        <w:rPr>
          <w:rFonts w:hint="eastAsia" w:ascii="宋体" w:hAnsi="宋体" w:cs="宋体"/>
        </w:rPr>
        <w:t>，平均数为</w:t>
      </w:r>
      <w:r>
        <w:rPr>
          <w:rFonts w:ascii="宋体" w:hAnsi="宋体" w:cs="宋体"/>
        </w:rPr>
        <w:t>22m</w:t>
      </w:r>
      <w:r>
        <w:rPr>
          <w:rFonts w:ascii="宋体" w:hAnsi="宋体" w:cs="宋体"/>
          <w:vertAlign w:val="superscript"/>
        </w:rPr>
        <w:t>3</w:t>
      </w:r>
      <w:r>
        <w:rPr>
          <w:rFonts w:ascii="宋体" w:hAnsi="宋体" w:cs="宋体"/>
        </w:rPr>
        <w:t>/100</w:t>
      </w:r>
      <w:r>
        <w:rPr>
          <w:rFonts w:hint="eastAsia" w:ascii="宋体" w:hAnsi="宋体" w:cs="宋体"/>
        </w:rPr>
        <w:t>m</w:t>
      </w:r>
      <w:r>
        <w:rPr>
          <w:rFonts w:ascii="宋体" w:hAnsi="宋体" w:cs="宋体"/>
        </w:rPr>
        <w:t>。</w:t>
      </w:r>
    </w:p>
    <w:p>
      <w:pPr>
        <w:spacing w:line="360" w:lineRule="auto"/>
        <w:ind w:firstLine="420" w:firstLineChars="200"/>
        <w:jc w:val="left"/>
        <w:rPr>
          <w:rFonts w:ascii="宋体" w:hAnsi="宋体" w:cs="宋体"/>
        </w:rPr>
      </w:pPr>
      <w:r>
        <w:rPr>
          <w:rFonts w:hint="eastAsia" w:ascii="宋体" w:hAnsi="宋体" w:cs="宋体"/>
        </w:rPr>
        <w:t>本标准精、粗纺（半精纺）毛纱线及</w:t>
      </w:r>
      <w:bookmarkStart w:id="71" w:name="_Hlk120659881"/>
      <w:r>
        <w:rPr>
          <w:rFonts w:hint="eastAsia" w:ascii="宋体" w:hAnsi="宋体" w:cs="宋体"/>
        </w:rPr>
        <w:t>精梳毛织物、粗梳毛织物取水</w:t>
      </w:r>
      <w:bookmarkEnd w:id="71"/>
      <w:r>
        <w:rPr>
          <w:rFonts w:hint="eastAsia" w:ascii="宋体" w:hAnsi="宋体" w:cs="宋体"/>
        </w:rPr>
        <w:t>根据企业实际生产情况统计而得</w:t>
      </w:r>
      <w:r>
        <w:rPr>
          <w:rFonts w:ascii="宋体" w:hAnsi="宋体" w:cs="宋体"/>
        </w:rPr>
        <w:t>，</w:t>
      </w:r>
      <w:r>
        <w:rPr>
          <w:rFonts w:hint="eastAsia" w:ascii="宋体" w:hAnsi="宋体" w:cs="宋体"/>
        </w:rPr>
        <w:t>通用值即为</w:t>
      </w:r>
      <w:r>
        <w:rPr>
          <w:rFonts w:ascii="宋体" w:hAnsi="宋体" w:cs="宋体"/>
        </w:rPr>
        <w:t>新建企业指标</w:t>
      </w:r>
      <w:r>
        <w:rPr>
          <w:rFonts w:hint="eastAsia" w:ascii="宋体" w:hAnsi="宋体" w:cs="宋体"/>
        </w:rPr>
        <w:t>，</w:t>
      </w:r>
      <w:r>
        <w:rPr>
          <w:rFonts w:ascii="宋体" w:hAnsi="宋体" w:cs="宋体"/>
        </w:rPr>
        <w:t>按照提升15%左右来确定，并且大约20%</w:t>
      </w:r>
      <w:r>
        <w:rPr>
          <w:rFonts w:hint="eastAsia" w:ascii="宋体" w:hAnsi="宋体" w:cs="宋体"/>
        </w:rPr>
        <w:t>企业可以达到，先进指标取自企业中最高水平。根据统计数据分析了以羊毛为主和以羊绒及特种动物纤维为主的不同情况下取水量，根据企业数据基本得出与羊毛为主原料加工之间的取水量的数值差。</w:t>
      </w:r>
    </w:p>
    <w:p>
      <w:pPr>
        <w:spacing w:line="360" w:lineRule="auto"/>
        <w:ind w:firstLine="420" w:firstLineChars="200"/>
        <w:jc w:val="left"/>
        <w:rPr>
          <w:rFonts w:ascii="宋体" w:hAnsi="宋体" w:cs="宋体"/>
        </w:rPr>
      </w:pPr>
      <w:bookmarkStart w:id="72" w:name="_Hlk120661303"/>
      <w:r>
        <w:rPr>
          <w:rFonts w:hint="eastAsia" w:ascii="宋体" w:hAnsi="宋体" w:cs="宋体"/>
        </w:rPr>
        <w:t>精梳毛织物、粗梳毛织物</w:t>
      </w:r>
      <w:bookmarkEnd w:id="72"/>
      <w:r>
        <w:rPr>
          <w:rFonts w:hint="eastAsia" w:ascii="宋体" w:hAnsi="宋体" w:cs="宋体"/>
        </w:rPr>
        <w:t>取水额指标是在基准品的情况下给出的标准值，基准品是以目前市场主要畅销产品的平均百米克重确定的，精梳毛织物的基准品为</w:t>
      </w:r>
      <w:r>
        <w:rPr>
          <w:rFonts w:ascii="宋体" w:hAnsi="宋体" w:cs="宋体"/>
        </w:rPr>
        <w:t>30kg/100m，粗梳毛织物基准品为60kg/100m。调研中发现每家企业的产品品种很多，主打产品的面料厚重差异较大，特别是粗梳毛织物差异更大，而不同厚重的产品在后整理阶段用水量明显不同，经调研分析，给出不同厚重产品的产量折算系数更科学合理，当企业生产的产品为非基准品时，可以参照</w:t>
      </w:r>
      <w:r>
        <w:rPr>
          <w:rFonts w:hint="eastAsia" w:ascii="宋体" w:hAnsi="宋体" w:cs="宋体"/>
        </w:rPr>
        <w:t>GB/T 18916.</w:t>
      </w:r>
      <w:r>
        <w:rPr>
          <w:rFonts w:ascii="宋体" w:hAnsi="宋体" w:cs="宋体"/>
        </w:rPr>
        <w:t>14给出的产量折算系数进行折算。</w:t>
      </w:r>
    </w:p>
    <w:p>
      <w:pPr>
        <w:spacing w:line="360" w:lineRule="auto"/>
        <w:ind w:firstLine="420" w:firstLineChars="200"/>
        <w:jc w:val="center"/>
        <w:rPr>
          <w:rFonts w:ascii="宋体" w:hAnsi="宋体" w:cs="宋体"/>
        </w:rPr>
      </w:pPr>
      <w:bookmarkStart w:id="73" w:name="_Hlk120663571"/>
      <w:r>
        <w:rPr>
          <w:rFonts w:hint="eastAsia" w:ascii="宋体" w:hAnsi="宋体" w:cs="宋体"/>
        </w:rPr>
        <w:t>表</w:t>
      </w:r>
      <w:r>
        <w:rPr>
          <w:rFonts w:ascii="宋体" w:hAnsi="宋体" w:cs="宋体"/>
        </w:rPr>
        <w:t xml:space="preserve">9  </w:t>
      </w:r>
      <w:r>
        <w:rPr>
          <w:rFonts w:hint="eastAsia" w:ascii="宋体" w:hAnsi="宋体" w:cs="宋体"/>
        </w:rPr>
        <w:t>毛针织品生产企业技术指标</w:t>
      </w:r>
      <w:r>
        <w:rPr>
          <w:rFonts w:ascii="宋体" w:hAnsi="宋体" w:cs="宋体"/>
        </w:rPr>
        <w:t xml:space="preserve">          </w:t>
      </w:r>
    </w:p>
    <w:tbl>
      <w:tblPr>
        <w:tblStyle w:val="2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979"/>
        <w:gridCol w:w="974"/>
        <w:gridCol w:w="965"/>
        <w:gridCol w:w="1105"/>
        <w:gridCol w:w="1105"/>
        <w:gridCol w:w="1105"/>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0" w:type="dxa"/>
            <w:vAlign w:val="center"/>
          </w:tcPr>
          <w:p>
            <w:pPr>
              <w:spacing w:line="360" w:lineRule="auto"/>
              <w:jc w:val="center"/>
              <w:rPr>
                <w:rFonts w:ascii="宋体" w:hAnsi="宋体" w:cs="宋体"/>
              </w:rPr>
            </w:pPr>
            <w:r>
              <w:rPr>
                <w:rFonts w:hint="eastAsia" w:ascii="宋体" w:hAnsi="宋体" w:cs="宋体"/>
              </w:rPr>
              <w:t>调研企业</w:t>
            </w:r>
          </w:p>
        </w:tc>
        <w:tc>
          <w:tcPr>
            <w:tcW w:w="979" w:type="dxa"/>
            <w:vAlign w:val="center"/>
          </w:tcPr>
          <w:p>
            <w:pPr>
              <w:spacing w:line="360" w:lineRule="auto"/>
              <w:jc w:val="center"/>
              <w:rPr>
                <w:rFonts w:ascii="宋体" w:hAnsi="宋体" w:cs="宋体"/>
              </w:rPr>
            </w:pPr>
            <w:r>
              <w:rPr>
                <w:rFonts w:hint="eastAsia" w:ascii="宋体" w:hAnsi="宋体" w:cs="宋体"/>
              </w:rPr>
              <w:t>产能行业占比</w:t>
            </w:r>
          </w:p>
        </w:tc>
        <w:tc>
          <w:tcPr>
            <w:tcW w:w="974" w:type="dxa"/>
            <w:vAlign w:val="center"/>
          </w:tcPr>
          <w:p>
            <w:pPr>
              <w:spacing w:line="360" w:lineRule="auto"/>
              <w:jc w:val="center"/>
              <w:rPr>
                <w:rFonts w:ascii="宋体" w:hAnsi="宋体" w:cs="宋体"/>
              </w:rPr>
            </w:pPr>
            <w:r>
              <w:rPr>
                <w:rFonts w:hint="eastAsia" w:ascii="宋体" w:hAnsi="宋体" w:cs="宋体"/>
              </w:rPr>
              <w:t>单位产品取水量</w:t>
            </w:r>
          </w:p>
        </w:tc>
        <w:tc>
          <w:tcPr>
            <w:tcW w:w="965" w:type="dxa"/>
            <w:vAlign w:val="center"/>
          </w:tcPr>
          <w:p>
            <w:pPr>
              <w:spacing w:line="360" w:lineRule="auto"/>
              <w:jc w:val="center"/>
              <w:rPr>
                <w:rFonts w:ascii="宋体" w:hAnsi="宋体" w:cs="宋体"/>
              </w:rPr>
            </w:pPr>
            <w:r>
              <w:rPr>
                <w:rFonts w:hint="eastAsia" w:ascii="宋体" w:hAnsi="宋体" w:cs="宋体"/>
              </w:rPr>
              <w:t>水重复利用率</w:t>
            </w:r>
          </w:p>
        </w:tc>
        <w:tc>
          <w:tcPr>
            <w:tcW w:w="1105" w:type="dxa"/>
            <w:vAlign w:val="center"/>
          </w:tcPr>
          <w:p>
            <w:pPr>
              <w:spacing w:line="360" w:lineRule="auto"/>
              <w:jc w:val="center"/>
              <w:rPr>
                <w:rFonts w:ascii="宋体" w:hAnsi="宋体" w:cs="宋体"/>
              </w:rPr>
            </w:pPr>
            <w:r>
              <w:rPr>
                <w:rFonts w:hint="eastAsia" w:ascii="宋体" w:hAnsi="宋体" w:cs="宋体"/>
              </w:rPr>
              <w:t>间接循环水利用率</w:t>
            </w:r>
          </w:p>
        </w:tc>
        <w:tc>
          <w:tcPr>
            <w:tcW w:w="1105"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05" w:type="dxa"/>
            <w:vAlign w:val="center"/>
          </w:tcPr>
          <w:p>
            <w:pPr>
              <w:spacing w:line="360" w:lineRule="auto"/>
              <w:jc w:val="center"/>
              <w:rPr>
                <w:rFonts w:hint="eastAsia" w:ascii="宋体" w:hAnsi="宋体" w:cs="宋体"/>
              </w:rPr>
            </w:pPr>
            <w:r>
              <w:rPr>
                <w:rFonts w:hint="eastAsia" w:ascii="宋体" w:hAnsi="宋体" w:cs="宋体"/>
              </w:rPr>
              <w:t>用水综合漏失率</w:t>
            </w:r>
          </w:p>
        </w:tc>
        <w:tc>
          <w:tcPr>
            <w:tcW w:w="1297" w:type="dxa"/>
            <w:vAlign w:val="center"/>
          </w:tcPr>
          <w:p>
            <w:pPr>
              <w:spacing w:line="360" w:lineRule="auto"/>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80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74</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企业3</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70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企业4</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66</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企业5</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65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企业6</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63</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企业7</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50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毛纺为主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企业8</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155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企业9</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145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0</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140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130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1%</w:t>
            </w:r>
          </w:p>
        </w:tc>
        <w:tc>
          <w:tcPr>
            <w:tcW w:w="974" w:type="dxa"/>
          </w:tcPr>
          <w:p>
            <w:pPr>
              <w:spacing w:line="360" w:lineRule="auto"/>
              <w:jc w:val="center"/>
              <w:rPr>
                <w:rFonts w:ascii="宋体" w:hAnsi="宋体" w:cs="宋体"/>
              </w:rPr>
            </w:pPr>
            <w:r>
              <w:rPr>
                <w:rFonts w:ascii="宋体" w:hAnsi="宋体" w:cs="宋体"/>
              </w:rPr>
              <w:t>120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3</w:t>
            </w:r>
          </w:p>
        </w:tc>
        <w:tc>
          <w:tcPr>
            <w:tcW w:w="979" w:type="dxa"/>
          </w:tcPr>
          <w:p>
            <w:pPr>
              <w:spacing w:line="360" w:lineRule="auto"/>
              <w:jc w:val="center"/>
              <w:rPr>
                <w:rFonts w:ascii="宋体" w:hAnsi="宋体" w:cs="宋体"/>
              </w:rPr>
            </w:pPr>
            <w:r>
              <w:rPr>
                <w:rFonts w:ascii="宋体" w:hAnsi="宋体" w:cs="宋体"/>
              </w:rPr>
              <w:t>1%</w:t>
            </w:r>
          </w:p>
        </w:tc>
        <w:tc>
          <w:tcPr>
            <w:tcW w:w="974" w:type="dxa"/>
          </w:tcPr>
          <w:p>
            <w:pPr>
              <w:spacing w:line="360" w:lineRule="auto"/>
              <w:jc w:val="center"/>
              <w:rPr>
                <w:rFonts w:ascii="宋体" w:hAnsi="宋体" w:cs="宋体"/>
              </w:rPr>
            </w:pPr>
            <w:r>
              <w:rPr>
                <w:rFonts w:ascii="宋体" w:hAnsi="宋体" w:cs="宋体"/>
              </w:rPr>
              <w:t>100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r>
              <w:rPr>
                <w:rFonts w:hint="eastAsia" w:ascii="宋体" w:hAnsi="宋体" w:cs="宋体"/>
              </w:rPr>
              <w:t>羊绒占</w:t>
            </w:r>
            <w:r>
              <w:rPr>
                <w:rFonts w:ascii="宋体" w:hAnsi="宋体" w:cs="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合计</w:t>
            </w:r>
          </w:p>
        </w:tc>
        <w:tc>
          <w:tcPr>
            <w:tcW w:w="979" w:type="dxa"/>
          </w:tcPr>
          <w:p>
            <w:pPr>
              <w:spacing w:line="360" w:lineRule="auto"/>
              <w:jc w:val="center"/>
              <w:rPr>
                <w:rFonts w:ascii="宋体" w:hAnsi="宋体" w:cs="宋体"/>
              </w:rPr>
            </w:pPr>
            <w:r>
              <w:rPr>
                <w:rFonts w:ascii="宋体" w:hAnsi="宋体" w:cs="宋体"/>
              </w:rPr>
              <w:t>27%</w:t>
            </w:r>
          </w:p>
        </w:tc>
        <w:tc>
          <w:tcPr>
            <w:tcW w:w="974" w:type="dxa"/>
          </w:tcPr>
          <w:p>
            <w:pPr>
              <w:spacing w:line="360" w:lineRule="auto"/>
              <w:jc w:val="center"/>
              <w:rPr>
                <w:rFonts w:ascii="宋体" w:hAnsi="宋体" w:cs="宋体"/>
              </w:rPr>
            </w:pP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bookmarkEnd w:id="73"/>
    </w:tbl>
    <w:p>
      <w:pPr>
        <w:spacing w:line="360" w:lineRule="auto"/>
        <w:ind w:firstLine="420" w:firstLineChars="200"/>
        <w:jc w:val="left"/>
        <w:rPr>
          <w:rFonts w:ascii="宋体" w:hAnsi="宋体" w:cs="宋体"/>
        </w:rPr>
      </w:pPr>
      <w:r>
        <w:rPr>
          <w:rFonts w:hint="eastAsia" w:ascii="宋体" w:hAnsi="宋体" w:cs="宋体"/>
        </w:rPr>
        <w:t>目前很多羊绒品牌企业只做针织产品的设计、加工，为给这类企业提供取水指标的标准，特别调研了含针织、洗缩、整烫工艺流程的羊绒衫加工企业</w:t>
      </w:r>
      <w:r>
        <w:rPr>
          <w:rFonts w:ascii="宋体" w:hAnsi="宋体" w:cs="宋体"/>
        </w:rPr>
        <w:t>，比较以羊毛或羊毛混纺为主要原料制作的羊毛衫用水量多很多，因为羊绒衫不仅需要洗涤，还需要缩绒，用水量远远高于羊毛衫后整理，因此在本标准针对性的给出了不同原料的针织品取水额，方便企业参照执行。</w:t>
      </w:r>
    </w:p>
    <w:p>
      <w:pPr>
        <w:spacing w:line="360" w:lineRule="auto"/>
        <w:ind w:firstLine="420" w:firstLineChars="200"/>
        <w:jc w:val="left"/>
        <w:rPr>
          <w:rFonts w:ascii="宋体" w:hAnsi="宋体" w:cs="宋体"/>
        </w:rPr>
      </w:pPr>
      <w:r>
        <w:rPr>
          <w:rFonts w:hint="eastAsia" w:ascii="宋体" w:hAnsi="宋体" w:cs="宋体"/>
        </w:rPr>
        <w:t>毛针织产品调研企业产能占行业产能的</w:t>
      </w:r>
      <w:r>
        <w:rPr>
          <w:rFonts w:ascii="宋体" w:hAnsi="宋体" w:cs="宋体"/>
        </w:rPr>
        <w:t>27%，通过对比数据，通用值选取数值为调研占比的73.3%，</w:t>
      </w:r>
      <w:r>
        <w:rPr>
          <w:rFonts w:hint="eastAsia" w:ascii="宋体" w:hAnsi="宋体" w:cs="宋体"/>
        </w:rPr>
        <w:t>平均数为</w:t>
      </w:r>
      <w:r>
        <w:rPr>
          <w:rFonts w:ascii="宋体" w:hAnsi="宋体" w:cs="宋体"/>
        </w:rPr>
        <w:t>70m</w:t>
      </w:r>
      <w:r>
        <w:rPr>
          <w:rFonts w:ascii="宋体" w:hAnsi="宋体" w:cs="宋体"/>
          <w:vertAlign w:val="superscript"/>
        </w:rPr>
        <w:t>3</w:t>
      </w:r>
      <w:r>
        <w:rPr>
          <w:rFonts w:ascii="宋体" w:hAnsi="宋体" w:cs="宋体"/>
        </w:rPr>
        <w:t>/t</w:t>
      </w:r>
      <w:r>
        <w:rPr>
          <w:rFonts w:hint="eastAsia" w:ascii="宋体" w:hAnsi="宋体" w:cs="宋体"/>
        </w:rPr>
        <w:t>，</w:t>
      </w:r>
      <w:r>
        <w:rPr>
          <w:rFonts w:ascii="宋体" w:hAnsi="宋体" w:cs="宋体"/>
        </w:rPr>
        <w:t>先进值的选取占调研占比的13.3%</w:t>
      </w:r>
      <w:r>
        <w:rPr>
          <w:rFonts w:hint="eastAsia" w:ascii="宋体" w:hAnsi="宋体" w:cs="宋体"/>
        </w:rPr>
        <w:t>，平均数为</w:t>
      </w:r>
      <w:r>
        <w:rPr>
          <w:rFonts w:ascii="宋体" w:hAnsi="宋体" w:cs="宋体"/>
        </w:rPr>
        <w:t>60m</w:t>
      </w:r>
      <w:r>
        <w:rPr>
          <w:rFonts w:ascii="宋体" w:hAnsi="宋体" w:cs="宋体"/>
          <w:vertAlign w:val="superscript"/>
        </w:rPr>
        <w:t>3</w:t>
      </w:r>
      <w:r>
        <w:rPr>
          <w:rFonts w:ascii="宋体" w:hAnsi="宋体" w:cs="宋体"/>
        </w:rPr>
        <w:t>/t。羊绒为主的毛针织产品通用值选取数值为调研占比的66.7%，</w:t>
      </w:r>
      <w:r>
        <w:rPr>
          <w:rFonts w:hint="eastAsia" w:ascii="宋体" w:hAnsi="宋体" w:cs="宋体"/>
        </w:rPr>
        <w:t>平均数为</w:t>
      </w:r>
      <w:r>
        <w:rPr>
          <w:rFonts w:ascii="宋体" w:hAnsi="宋体" w:cs="宋体"/>
        </w:rPr>
        <w:t>140m</w:t>
      </w:r>
      <w:r>
        <w:rPr>
          <w:rFonts w:ascii="宋体" w:hAnsi="宋体" w:cs="宋体"/>
          <w:vertAlign w:val="superscript"/>
        </w:rPr>
        <w:t>3</w:t>
      </w:r>
      <w:r>
        <w:rPr>
          <w:rFonts w:ascii="宋体" w:hAnsi="宋体" w:cs="宋体"/>
        </w:rPr>
        <w:t>/t,先进值为16.7%</w:t>
      </w:r>
      <w:r>
        <w:rPr>
          <w:rFonts w:hint="eastAsia" w:ascii="宋体" w:hAnsi="宋体" w:cs="宋体"/>
        </w:rPr>
        <w:t>，平均数为</w:t>
      </w:r>
      <w:r>
        <w:rPr>
          <w:rFonts w:ascii="宋体" w:hAnsi="宋体" w:cs="宋体"/>
        </w:rPr>
        <w:t>120m</w:t>
      </w:r>
      <w:r>
        <w:rPr>
          <w:rFonts w:ascii="宋体" w:hAnsi="宋体" w:cs="宋体"/>
          <w:vertAlign w:val="superscript"/>
        </w:rPr>
        <w:t>3</w:t>
      </w:r>
      <w:r>
        <w:rPr>
          <w:rFonts w:ascii="宋体" w:hAnsi="宋体" w:cs="宋体"/>
        </w:rPr>
        <w:t>/t。</w:t>
      </w:r>
    </w:p>
    <w:p>
      <w:pPr>
        <w:spacing w:line="360" w:lineRule="auto"/>
        <w:ind w:firstLine="420" w:firstLineChars="200"/>
        <w:jc w:val="center"/>
        <w:rPr>
          <w:rFonts w:ascii="宋体" w:hAnsi="宋体" w:cs="宋体"/>
        </w:rPr>
      </w:pPr>
      <w:r>
        <w:rPr>
          <w:rFonts w:hint="eastAsia" w:ascii="宋体" w:hAnsi="宋体" w:cs="宋体"/>
        </w:rPr>
        <w:t>表</w:t>
      </w:r>
      <w:r>
        <w:rPr>
          <w:rFonts w:ascii="宋体" w:hAnsi="宋体" w:cs="宋体"/>
        </w:rPr>
        <w:t xml:space="preserve">10  </w:t>
      </w:r>
      <w:r>
        <w:rPr>
          <w:rFonts w:hint="eastAsia" w:ascii="宋体" w:hAnsi="宋体" w:cs="宋体"/>
        </w:rPr>
        <w:t>分梳绒生产企业技术指标</w:t>
      </w:r>
      <w:r>
        <w:rPr>
          <w:rFonts w:ascii="宋体" w:hAnsi="宋体" w:cs="宋体"/>
        </w:rPr>
        <w:t xml:space="preserve">      </w:t>
      </w:r>
    </w:p>
    <w:tbl>
      <w:tblPr>
        <w:tblStyle w:val="2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979"/>
        <w:gridCol w:w="974"/>
        <w:gridCol w:w="965"/>
        <w:gridCol w:w="1105"/>
        <w:gridCol w:w="1105"/>
        <w:gridCol w:w="1105"/>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0" w:type="dxa"/>
            <w:vAlign w:val="center"/>
          </w:tcPr>
          <w:p>
            <w:pPr>
              <w:spacing w:line="360" w:lineRule="auto"/>
              <w:jc w:val="center"/>
              <w:rPr>
                <w:rFonts w:ascii="宋体" w:hAnsi="宋体" w:cs="宋体"/>
              </w:rPr>
            </w:pPr>
            <w:r>
              <w:rPr>
                <w:rFonts w:hint="eastAsia" w:ascii="宋体" w:hAnsi="宋体" w:cs="宋体"/>
              </w:rPr>
              <w:t>调研企业</w:t>
            </w:r>
          </w:p>
        </w:tc>
        <w:tc>
          <w:tcPr>
            <w:tcW w:w="979" w:type="dxa"/>
            <w:vAlign w:val="center"/>
          </w:tcPr>
          <w:p>
            <w:pPr>
              <w:spacing w:line="360" w:lineRule="auto"/>
              <w:jc w:val="center"/>
              <w:rPr>
                <w:rFonts w:ascii="宋体" w:hAnsi="宋体" w:cs="宋体"/>
              </w:rPr>
            </w:pPr>
            <w:r>
              <w:rPr>
                <w:rFonts w:hint="eastAsia" w:ascii="宋体" w:hAnsi="宋体" w:cs="宋体"/>
              </w:rPr>
              <w:t>产能行业占比</w:t>
            </w:r>
          </w:p>
        </w:tc>
        <w:tc>
          <w:tcPr>
            <w:tcW w:w="974" w:type="dxa"/>
            <w:vAlign w:val="center"/>
          </w:tcPr>
          <w:p>
            <w:pPr>
              <w:spacing w:line="360" w:lineRule="auto"/>
              <w:jc w:val="center"/>
              <w:rPr>
                <w:rFonts w:ascii="宋体" w:hAnsi="宋体" w:cs="宋体"/>
              </w:rPr>
            </w:pPr>
            <w:r>
              <w:rPr>
                <w:rFonts w:hint="eastAsia" w:ascii="宋体" w:hAnsi="宋体" w:cs="宋体"/>
              </w:rPr>
              <w:t>单位产品取水量</w:t>
            </w:r>
          </w:p>
        </w:tc>
        <w:tc>
          <w:tcPr>
            <w:tcW w:w="965" w:type="dxa"/>
            <w:vAlign w:val="center"/>
          </w:tcPr>
          <w:p>
            <w:pPr>
              <w:spacing w:line="360" w:lineRule="auto"/>
              <w:jc w:val="center"/>
              <w:rPr>
                <w:rFonts w:ascii="宋体" w:hAnsi="宋体" w:cs="宋体"/>
              </w:rPr>
            </w:pPr>
            <w:r>
              <w:rPr>
                <w:rFonts w:hint="eastAsia" w:ascii="宋体" w:hAnsi="宋体" w:cs="宋体"/>
              </w:rPr>
              <w:t>水重复利用率</w:t>
            </w:r>
          </w:p>
        </w:tc>
        <w:tc>
          <w:tcPr>
            <w:tcW w:w="1105" w:type="dxa"/>
            <w:vAlign w:val="center"/>
          </w:tcPr>
          <w:p>
            <w:pPr>
              <w:spacing w:line="360" w:lineRule="auto"/>
              <w:jc w:val="center"/>
              <w:rPr>
                <w:rFonts w:ascii="宋体" w:hAnsi="宋体" w:cs="宋体"/>
              </w:rPr>
            </w:pPr>
            <w:r>
              <w:rPr>
                <w:rFonts w:hint="eastAsia" w:ascii="宋体" w:hAnsi="宋体" w:cs="宋体"/>
              </w:rPr>
              <w:t>间接循环水利用率</w:t>
            </w:r>
          </w:p>
        </w:tc>
        <w:tc>
          <w:tcPr>
            <w:tcW w:w="1105"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05" w:type="dxa"/>
            <w:vAlign w:val="center"/>
          </w:tcPr>
          <w:p>
            <w:pPr>
              <w:spacing w:line="360" w:lineRule="auto"/>
              <w:jc w:val="center"/>
              <w:rPr>
                <w:rFonts w:hint="eastAsia" w:ascii="宋体" w:hAnsi="宋体" w:cs="宋体"/>
              </w:rPr>
            </w:pPr>
            <w:r>
              <w:rPr>
                <w:rFonts w:hint="eastAsia" w:ascii="宋体" w:hAnsi="宋体" w:cs="宋体"/>
              </w:rPr>
              <w:t>用水综合漏失率</w:t>
            </w:r>
          </w:p>
        </w:tc>
        <w:tc>
          <w:tcPr>
            <w:tcW w:w="1297" w:type="dxa"/>
            <w:vAlign w:val="center"/>
          </w:tcPr>
          <w:p>
            <w:pPr>
              <w:spacing w:line="360" w:lineRule="auto"/>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34</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34</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企业3</w:t>
            </w:r>
          </w:p>
        </w:tc>
        <w:tc>
          <w:tcPr>
            <w:tcW w:w="979" w:type="dxa"/>
          </w:tcPr>
          <w:p>
            <w:pPr>
              <w:spacing w:line="360" w:lineRule="auto"/>
              <w:jc w:val="center"/>
              <w:rPr>
                <w:rFonts w:ascii="宋体" w:hAnsi="宋体" w:cs="宋体"/>
              </w:rPr>
            </w:pPr>
            <w:r>
              <w:rPr>
                <w:rFonts w:ascii="宋体" w:hAnsi="宋体" w:cs="宋体"/>
              </w:rPr>
              <w:t>5%</w:t>
            </w:r>
          </w:p>
        </w:tc>
        <w:tc>
          <w:tcPr>
            <w:tcW w:w="974" w:type="dxa"/>
          </w:tcPr>
          <w:p>
            <w:pPr>
              <w:spacing w:line="360" w:lineRule="auto"/>
              <w:jc w:val="center"/>
              <w:rPr>
                <w:rFonts w:ascii="宋体" w:hAnsi="宋体" w:cs="宋体"/>
              </w:rPr>
            </w:pPr>
            <w:r>
              <w:rPr>
                <w:rFonts w:ascii="宋体" w:hAnsi="宋体" w:cs="宋体"/>
              </w:rPr>
              <w:t>33</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企业4</w:t>
            </w:r>
          </w:p>
        </w:tc>
        <w:tc>
          <w:tcPr>
            <w:tcW w:w="979" w:type="dxa"/>
          </w:tcPr>
          <w:p>
            <w:pPr>
              <w:spacing w:line="360" w:lineRule="auto"/>
              <w:jc w:val="center"/>
              <w:rPr>
                <w:rFonts w:ascii="宋体" w:hAnsi="宋体" w:cs="宋体"/>
              </w:rPr>
            </w:pPr>
            <w:r>
              <w:rPr>
                <w:rFonts w:ascii="宋体" w:hAnsi="宋体" w:cs="宋体"/>
              </w:rPr>
              <w:t>10%</w:t>
            </w:r>
          </w:p>
        </w:tc>
        <w:tc>
          <w:tcPr>
            <w:tcW w:w="974" w:type="dxa"/>
          </w:tcPr>
          <w:p>
            <w:pPr>
              <w:spacing w:line="360" w:lineRule="auto"/>
              <w:jc w:val="center"/>
              <w:rPr>
                <w:rFonts w:ascii="宋体" w:hAnsi="宋体" w:cs="宋体"/>
              </w:rPr>
            </w:pPr>
            <w:r>
              <w:rPr>
                <w:rFonts w:ascii="宋体" w:hAnsi="宋体" w:cs="宋体"/>
              </w:rPr>
              <w:t>32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企业5</w:t>
            </w:r>
          </w:p>
        </w:tc>
        <w:tc>
          <w:tcPr>
            <w:tcW w:w="979" w:type="dxa"/>
          </w:tcPr>
          <w:p>
            <w:pPr>
              <w:spacing w:line="360" w:lineRule="auto"/>
              <w:jc w:val="center"/>
              <w:rPr>
                <w:rFonts w:ascii="宋体" w:hAnsi="宋体" w:cs="宋体"/>
              </w:rPr>
            </w:pPr>
            <w:r>
              <w:rPr>
                <w:rFonts w:ascii="宋体" w:hAnsi="宋体" w:cs="宋体"/>
              </w:rPr>
              <w:t>4%</w:t>
            </w:r>
          </w:p>
        </w:tc>
        <w:tc>
          <w:tcPr>
            <w:tcW w:w="974" w:type="dxa"/>
          </w:tcPr>
          <w:p>
            <w:pPr>
              <w:spacing w:line="360" w:lineRule="auto"/>
              <w:jc w:val="center"/>
              <w:rPr>
                <w:rFonts w:ascii="宋体" w:hAnsi="宋体" w:cs="宋体"/>
              </w:rPr>
            </w:pPr>
            <w:r>
              <w:rPr>
                <w:rFonts w:ascii="宋体" w:hAnsi="宋体" w:cs="宋体"/>
              </w:rPr>
              <w:t>30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企业6</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28</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企业7</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合计</w:t>
            </w:r>
          </w:p>
        </w:tc>
        <w:tc>
          <w:tcPr>
            <w:tcW w:w="979" w:type="dxa"/>
          </w:tcPr>
          <w:p>
            <w:pPr>
              <w:spacing w:line="360" w:lineRule="auto"/>
              <w:jc w:val="center"/>
              <w:rPr>
                <w:rFonts w:ascii="宋体" w:hAnsi="宋体" w:cs="宋体"/>
              </w:rPr>
            </w:pPr>
            <w:r>
              <w:rPr>
                <w:rFonts w:ascii="宋体" w:hAnsi="宋体" w:cs="宋体"/>
              </w:rPr>
              <w:t>28%</w:t>
            </w:r>
          </w:p>
        </w:tc>
        <w:tc>
          <w:tcPr>
            <w:tcW w:w="974" w:type="dxa"/>
          </w:tcPr>
          <w:p>
            <w:pPr>
              <w:spacing w:line="360" w:lineRule="auto"/>
              <w:jc w:val="center"/>
              <w:rPr>
                <w:rFonts w:ascii="宋体" w:hAnsi="宋体" w:cs="宋体"/>
              </w:rPr>
            </w:pP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bl>
    <w:p>
      <w:pPr>
        <w:spacing w:line="360" w:lineRule="auto"/>
        <w:ind w:firstLine="420" w:firstLineChars="200"/>
        <w:jc w:val="left"/>
        <w:rPr>
          <w:rFonts w:ascii="宋体" w:hAnsi="宋体" w:cs="宋体"/>
        </w:rPr>
      </w:pPr>
      <w:r>
        <w:rPr>
          <w:rFonts w:hint="eastAsia" w:ascii="宋体" w:hAnsi="宋体" w:cs="宋体"/>
        </w:rPr>
        <w:t>分梳绒加工过程包括选绒、洗绒、分梳等，洗绒用水量受原绒产地影响，原绒含杂率不一样。分梳绒产品调研企业产能占行业产能的</w:t>
      </w:r>
      <w:r>
        <w:rPr>
          <w:rFonts w:ascii="宋体" w:hAnsi="宋体" w:cs="宋体"/>
        </w:rPr>
        <w:t>28%，通过对比数据，通用值选取数值为调研占比的64.3%，先进值的选取占调研占比的14.3%。企业最高用水量达到34立方米/吨原绒，最低用水量仅为25立方米/吨原绒，指标的确定以80%企业可以达到的水平为现有企业水平，比现有企业水平提高13%左右定为新建企业水平，</w:t>
      </w:r>
      <w:r>
        <w:rPr>
          <w:rFonts w:hint="eastAsia" w:ascii="宋体" w:hAnsi="宋体" w:cs="宋体"/>
        </w:rPr>
        <w:t>平均数为</w:t>
      </w:r>
      <w:r>
        <w:rPr>
          <w:rFonts w:ascii="宋体" w:hAnsi="宋体" w:cs="宋体"/>
        </w:rPr>
        <w:t>32m</w:t>
      </w:r>
      <w:r>
        <w:rPr>
          <w:rFonts w:ascii="宋体" w:hAnsi="宋体" w:cs="宋体"/>
          <w:vertAlign w:val="superscript"/>
        </w:rPr>
        <w:t>3</w:t>
      </w:r>
      <w:r>
        <w:rPr>
          <w:rFonts w:ascii="宋体" w:hAnsi="宋体" w:cs="宋体"/>
        </w:rPr>
        <w:t>/t</w:t>
      </w:r>
      <w:r>
        <w:rPr>
          <w:rFonts w:hint="eastAsia" w:ascii="宋体" w:hAnsi="宋体" w:cs="宋体"/>
        </w:rPr>
        <w:t>，</w:t>
      </w:r>
      <w:r>
        <w:rPr>
          <w:rFonts w:ascii="宋体" w:hAnsi="宋体" w:cs="宋体"/>
        </w:rPr>
        <w:t>引导企业向高水平发展。国内最好水平为先进值，</w:t>
      </w:r>
      <w:r>
        <w:rPr>
          <w:rFonts w:hint="eastAsia" w:ascii="宋体" w:hAnsi="宋体" w:cs="宋体"/>
        </w:rPr>
        <w:t>平均数为</w:t>
      </w:r>
      <w:r>
        <w:rPr>
          <w:rFonts w:ascii="宋体" w:hAnsi="宋体" w:cs="宋体"/>
        </w:rPr>
        <w:t>28m</w:t>
      </w:r>
      <w:r>
        <w:rPr>
          <w:rFonts w:ascii="宋体" w:hAnsi="宋体" w:cs="宋体"/>
          <w:vertAlign w:val="superscript"/>
        </w:rPr>
        <w:t>3</w:t>
      </w:r>
      <w:r>
        <w:rPr>
          <w:rFonts w:ascii="宋体" w:hAnsi="宋体" w:cs="宋体"/>
        </w:rPr>
        <w:t>/t</w:t>
      </w:r>
      <w:r>
        <w:rPr>
          <w:rFonts w:hint="eastAsia" w:ascii="宋体" w:hAnsi="宋体" w:cs="宋体"/>
        </w:rPr>
        <w:t>。</w:t>
      </w:r>
    </w:p>
    <w:p>
      <w:pPr>
        <w:spacing w:line="360" w:lineRule="auto"/>
        <w:ind w:firstLine="420" w:firstLineChars="200"/>
        <w:jc w:val="center"/>
        <w:rPr>
          <w:rFonts w:ascii="宋体" w:hAnsi="宋体" w:cs="宋体"/>
        </w:rPr>
      </w:pPr>
      <w:r>
        <w:rPr>
          <w:rFonts w:hint="eastAsia" w:ascii="宋体" w:hAnsi="宋体" w:cs="宋体"/>
        </w:rPr>
        <w:t>羊绒针织制品生产企业技术指标</w:t>
      </w:r>
      <w:r>
        <w:rPr>
          <w:rFonts w:ascii="宋体" w:hAnsi="宋体" w:cs="宋体"/>
        </w:rPr>
        <w:t xml:space="preserve">                                   </w:t>
      </w:r>
    </w:p>
    <w:tbl>
      <w:tblPr>
        <w:tblStyle w:val="2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979"/>
        <w:gridCol w:w="974"/>
        <w:gridCol w:w="965"/>
        <w:gridCol w:w="1105"/>
        <w:gridCol w:w="1105"/>
        <w:gridCol w:w="1105"/>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0" w:type="dxa"/>
            <w:vAlign w:val="center"/>
          </w:tcPr>
          <w:p>
            <w:pPr>
              <w:spacing w:line="360" w:lineRule="auto"/>
              <w:jc w:val="center"/>
              <w:rPr>
                <w:rFonts w:ascii="宋体" w:hAnsi="宋体" w:cs="宋体"/>
              </w:rPr>
            </w:pPr>
            <w:r>
              <w:rPr>
                <w:rFonts w:hint="eastAsia" w:ascii="宋体" w:hAnsi="宋体" w:cs="宋体"/>
              </w:rPr>
              <w:t>调研企业</w:t>
            </w:r>
          </w:p>
        </w:tc>
        <w:tc>
          <w:tcPr>
            <w:tcW w:w="979" w:type="dxa"/>
            <w:vAlign w:val="center"/>
          </w:tcPr>
          <w:p>
            <w:pPr>
              <w:spacing w:line="360" w:lineRule="auto"/>
              <w:jc w:val="center"/>
              <w:rPr>
                <w:rFonts w:ascii="宋体" w:hAnsi="宋体" w:cs="宋体"/>
              </w:rPr>
            </w:pPr>
            <w:r>
              <w:rPr>
                <w:rFonts w:hint="eastAsia" w:ascii="宋体" w:hAnsi="宋体" w:cs="宋体"/>
              </w:rPr>
              <w:t>产能行业占比</w:t>
            </w:r>
          </w:p>
        </w:tc>
        <w:tc>
          <w:tcPr>
            <w:tcW w:w="974" w:type="dxa"/>
            <w:vAlign w:val="center"/>
          </w:tcPr>
          <w:p>
            <w:pPr>
              <w:spacing w:line="360" w:lineRule="auto"/>
              <w:jc w:val="center"/>
              <w:rPr>
                <w:rFonts w:ascii="宋体" w:hAnsi="宋体" w:cs="宋体"/>
              </w:rPr>
            </w:pPr>
            <w:r>
              <w:rPr>
                <w:rFonts w:hint="eastAsia" w:ascii="宋体" w:hAnsi="宋体" w:cs="宋体"/>
              </w:rPr>
              <w:t>单位产品取水量</w:t>
            </w:r>
          </w:p>
        </w:tc>
        <w:tc>
          <w:tcPr>
            <w:tcW w:w="965" w:type="dxa"/>
            <w:vAlign w:val="center"/>
          </w:tcPr>
          <w:p>
            <w:pPr>
              <w:spacing w:line="360" w:lineRule="auto"/>
              <w:jc w:val="center"/>
              <w:rPr>
                <w:rFonts w:ascii="宋体" w:hAnsi="宋体" w:cs="宋体"/>
              </w:rPr>
            </w:pPr>
            <w:r>
              <w:rPr>
                <w:rFonts w:hint="eastAsia" w:ascii="宋体" w:hAnsi="宋体" w:cs="宋体"/>
              </w:rPr>
              <w:t>水重复利用率</w:t>
            </w:r>
          </w:p>
        </w:tc>
        <w:tc>
          <w:tcPr>
            <w:tcW w:w="1105" w:type="dxa"/>
            <w:vAlign w:val="center"/>
          </w:tcPr>
          <w:p>
            <w:pPr>
              <w:spacing w:line="360" w:lineRule="auto"/>
              <w:jc w:val="center"/>
              <w:rPr>
                <w:rFonts w:ascii="宋体" w:hAnsi="宋体" w:cs="宋体"/>
              </w:rPr>
            </w:pPr>
            <w:r>
              <w:rPr>
                <w:rFonts w:hint="eastAsia" w:ascii="宋体" w:hAnsi="宋体" w:cs="宋体"/>
              </w:rPr>
              <w:t>间接循环水利用率</w:t>
            </w:r>
          </w:p>
        </w:tc>
        <w:tc>
          <w:tcPr>
            <w:tcW w:w="1105" w:type="dxa"/>
            <w:vAlign w:val="center"/>
          </w:tcPr>
          <w:p>
            <w:pPr>
              <w:spacing w:line="360" w:lineRule="auto"/>
              <w:jc w:val="center"/>
              <w:rPr>
                <w:rFonts w:hint="eastAsia" w:ascii="宋体" w:hAnsi="宋体" w:cs="宋体"/>
              </w:rPr>
            </w:pPr>
            <w:r>
              <w:rPr>
                <w:rFonts w:hint="eastAsia" w:ascii="宋体" w:hAnsi="宋体" w:cs="宋体"/>
              </w:rPr>
              <w:t>蒸汽冷凝水回用率</w:t>
            </w:r>
          </w:p>
        </w:tc>
        <w:tc>
          <w:tcPr>
            <w:tcW w:w="1105" w:type="dxa"/>
            <w:vAlign w:val="center"/>
          </w:tcPr>
          <w:p>
            <w:pPr>
              <w:spacing w:line="360" w:lineRule="auto"/>
              <w:jc w:val="center"/>
              <w:rPr>
                <w:rFonts w:hint="eastAsia" w:ascii="宋体" w:hAnsi="宋体" w:cs="宋体"/>
              </w:rPr>
            </w:pPr>
            <w:r>
              <w:rPr>
                <w:rFonts w:hint="eastAsia" w:ascii="宋体" w:hAnsi="宋体" w:cs="宋体"/>
              </w:rPr>
              <w:t>用水综合漏失率</w:t>
            </w:r>
          </w:p>
        </w:tc>
        <w:tc>
          <w:tcPr>
            <w:tcW w:w="1297" w:type="dxa"/>
            <w:vAlign w:val="center"/>
          </w:tcPr>
          <w:p>
            <w:pPr>
              <w:spacing w:line="360" w:lineRule="auto"/>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1</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310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毛企</w:t>
            </w:r>
            <w:r>
              <w:rPr>
                <w:rFonts w:ascii="宋体" w:hAnsi="宋体" w:cs="宋体"/>
              </w:rPr>
              <w:t>2</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300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企业3</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290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企业4</w:t>
            </w:r>
          </w:p>
        </w:tc>
        <w:tc>
          <w:tcPr>
            <w:tcW w:w="979" w:type="dxa"/>
          </w:tcPr>
          <w:p>
            <w:pPr>
              <w:spacing w:line="360" w:lineRule="auto"/>
              <w:jc w:val="center"/>
              <w:rPr>
                <w:rFonts w:ascii="宋体" w:hAnsi="宋体" w:cs="宋体"/>
              </w:rPr>
            </w:pPr>
            <w:r>
              <w:rPr>
                <w:rFonts w:ascii="宋体" w:hAnsi="宋体" w:cs="宋体"/>
              </w:rPr>
              <w:t>6%</w:t>
            </w:r>
          </w:p>
        </w:tc>
        <w:tc>
          <w:tcPr>
            <w:tcW w:w="974" w:type="dxa"/>
          </w:tcPr>
          <w:p>
            <w:pPr>
              <w:spacing w:line="360" w:lineRule="auto"/>
              <w:jc w:val="center"/>
              <w:rPr>
                <w:rFonts w:ascii="宋体" w:hAnsi="宋体" w:cs="宋体"/>
              </w:rPr>
            </w:pPr>
            <w:r>
              <w:rPr>
                <w:rFonts w:ascii="宋体" w:hAnsi="宋体" w:cs="宋体"/>
              </w:rPr>
              <w:t>280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企业5</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275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企业6</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275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企业7</w:t>
            </w:r>
          </w:p>
        </w:tc>
        <w:tc>
          <w:tcPr>
            <w:tcW w:w="979" w:type="dxa"/>
          </w:tcPr>
          <w:p>
            <w:pPr>
              <w:spacing w:line="360" w:lineRule="auto"/>
              <w:jc w:val="center"/>
              <w:rPr>
                <w:rFonts w:ascii="宋体" w:hAnsi="宋体" w:cs="宋体"/>
              </w:rPr>
            </w:pPr>
            <w:r>
              <w:rPr>
                <w:rFonts w:ascii="宋体" w:hAnsi="宋体" w:cs="宋体"/>
              </w:rPr>
              <w:t>3%</w:t>
            </w:r>
          </w:p>
        </w:tc>
        <w:tc>
          <w:tcPr>
            <w:tcW w:w="974" w:type="dxa"/>
          </w:tcPr>
          <w:p>
            <w:pPr>
              <w:spacing w:line="360" w:lineRule="auto"/>
              <w:jc w:val="center"/>
              <w:rPr>
                <w:rFonts w:ascii="宋体" w:hAnsi="宋体" w:cs="宋体"/>
              </w:rPr>
            </w:pPr>
            <w:r>
              <w:rPr>
                <w:rFonts w:ascii="宋体" w:hAnsi="宋体" w:cs="宋体"/>
              </w:rPr>
              <w:t>272</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企业8</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270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企业9</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265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r>
              <w:rPr>
                <w:rFonts w:hint="eastAsia" w:ascii="宋体" w:hAnsi="宋体" w:cs="宋体"/>
              </w:rPr>
              <w:t>企业1</w:t>
            </w:r>
            <w:r>
              <w:rPr>
                <w:rFonts w:ascii="宋体" w:hAnsi="宋体" w:cs="宋体"/>
              </w:rPr>
              <w:t>0</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260</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ascii="宋体" w:hAnsi="宋体" w:cs="宋体"/>
              </w:rPr>
            </w:pPr>
            <w:r>
              <w:rPr>
                <w:rFonts w:hint="eastAsia" w:ascii="宋体" w:hAnsi="宋体" w:cs="宋体"/>
              </w:rPr>
              <w:t>合计</w:t>
            </w:r>
          </w:p>
        </w:tc>
        <w:tc>
          <w:tcPr>
            <w:tcW w:w="979" w:type="dxa"/>
          </w:tcPr>
          <w:p>
            <w:pPr>
              <w:spacing w:line="360" w:lineRule="auto"/>
              <w:jc w:val="center"/>
              <w:rPr>
                <w:rFonts w:ascii="宋体" w:hAnsi="宋体" w:cs="宋体"/>
              </w:rPr>
            </w:pPr>
            <w:r>
              <w:rPr>
                <w:rFonts w:ascii="宋体" w:hAnsi="宋体" w:cs="宋体"/>
              </w:rPr>
              <w:t>2%</w:t>
            </w:r>
          </w:p>
        </w:tc>
        <w:tc>
          <w:tcPr>
            <w:tcW w:w="974" w:type="dxa"/>
          </w:tcPr>
          <w:p>
            <w:pPr>
              <w:spacing w:line="360" w:lineRule="auto"/>
              <w:jc w:val="center"/>
              <w:rPr>
                <w:rFonts w:ascii="宋体" w:hAnsi="宋体" w:cs="宋体"/>
              </w:rPr>
            </w:pPr>
            <w:r>
              <w:rPr>
                <w:rFonts w:ascii="宋体" w:hAnsi="宋体" w:cs="宋体"/>
              </w:rPr>
              <w:t>245</w:t>
            </w: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vAlign w:val="center"/>
          </w:tcPr>
          <w:p>
            <w:pPr>
              <w:spacing w:line="360" w:lineRule="auto"/>
              <w:jc w:val="center"/>
              <w:rPr>
                <w:rFonts w:hint="eastAsia" w:ascii="宋体" w:hAnsi="宋体" w:cs="宋体"/>
              </w:rPr>
            </w:pPr>
          </w:p>
        </w:tc>
        <w:tc>
          <w:tcPr>
            <w:tcW w:w="979" w:type="dxa"/>
          </w:tcPr>
          <w:p>
            <w:pPr>
              <w:spacing w:line="360" w:lineRule="auto"/>
              <w:jc w:val="center"/>
              <w:rPr>
                <w:rFonts w:ascii="宋体" w:hAnsi="宋体" w:cs="宋体"/>
              </w:rPr>
            </w:pPr>
            <w:r>
              <w:rPr>
                <w:rFonts w:ascii="宋体" w:hAnsi="宋体" w:cs="宋体"/>
              </w:rPr>
              <w:t>28%</w:t>
            </w:r>
          </w:p>
        </w:tc>
        <w:tc>
          <w:tcPr>
            <w:tcW w:w="974" w:type="dxa"/>
          </w:tcPr>
          <w:p>
            <w:pPr>
              <w:spacing w:line="360" w:lineRule="auto"/>
              <w:jc w:val="center"/>
              <w:rPr>
                <w:rFonts w:ascii="宋体" w:hAnsi="宋体" w:cs="宋体"/>
              </w:rPr>
            </w:pPr>
          </w:p>
        </w:tc>
        <w:tc>
          <w:tcPr>
            <w:tcW w:w="965" w:type="dxa"/>
            <w:vAlign w:val="center"/>
          </w:tcPr>
          <w:p>
            <w:pPr>
              <w:spacing w:line="360" w:lineRule="auto"/>
              <w:jc w:val="center"/>
              <w:rPr>
                <w:rFonts w:ascii="宋体" w:hAnsi="宋体" w:cs="宋体"/>
              </w:rPr>
            </w:pPr>
          </w:p>
        </w:tc>
        <w:tc>
          <w:tcPr>
            <w:tcW w:w="1105" w:type="dxa"/>
            <w:vAlign w:val="center"/>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105" w:type="dxa"/>
          </w:tcPr>
          <w:p>
            <w:pPr>
              <w:spacing w:line="360" w:lineRule="auto"/>
              <w:jc w:val="center"/>
              <w:rPr>
                <w:rFonts w:ascii="宋体" w:hAnsi="宋体" w:cs="宋体"/>
              </w:rPr>
            </w:pPr>
          </w:p>
        </w:tc>
        <w:tc>
          <w:tcPr>
            <w:tcW w:w="1297" w:type="dxa"/>
          </w:tcPr>
          <w:p>
            <w:pPr>
              <w:spacing w:line="360" w:lineRule="auto"/>
              <w:jc w:val="center"/>
              <w:rPr>
                <w:rFonts w:ascii="宋体" w:hAnsi="宋体" w:cs="宋体"/>
              </w:rPr>
            </w:pPr>
          </w:p>
        </w:tc>
      </w:tr>
    </w:tbl>
    <w:p>
      <w:pPr>
        <w:spacing w:line="360" w:lineRule="auto"/>
        <w:ind w:firstLine="420" w:firstLineChars="200"/>
        <w:jc w:val="left"/>
        <w:rPr>
          <w:rFonts w:ascii="宋体" w:hAnsi="宋体" w:cs="宋体"/>
        </w:rPr>
      </w:pPr>
      <w:r>
        <w:rPr>
          <w:rFonts w:hint="eastAsia" w:ascii="宋体" w:hAnsi="宋体" w:cs="宋体"/>
        </w:rPr>
        <w:t>该指标为加工羊绒针织制品为主的全产业链羊绒企业的取水额，包含了分梳（含洗绒）、纺纱（含精、粗纺）、针织等主要工艺流程，是一项统算指标。羊绒针织产品调研企业产能占行业产能的</w:t>
      </w:r>
      <w:r>
        <w:rPr>
          <w:rFonts w:ascii="宋体" w:hAnsi="宋体" w:cs="宋体"/>
        </w:rPr>
        <w:t>28%，通过对比数据，通用值选取数值为调研占比的85.7%，</w:t>
      </w:r>
      <w:r>
        <w:rPr>
          <w:rFonts w:hint="eastAsia" w:ascii="宋体" w:hAnsi="宋体" w:cs="宋体"/>
        </w:rPr>
        <w:t>平均数为</w:t>
      </w:r>
      <w:r>
        <w:rPr>
          <w:rFonts w:ascii="宋体" w:hAnsi="宋体" w:cs="宋体"/>
        </w:rPr>
        <w:t>300m</w:t>
      </w:r>
      <w:r>
        <w:rPr>
          <w:rFonts w:ascii="宋体" w:hAnsi="宋体" w:cs="宋体"/>
          <w:vertAlign w:val="superscript"/>
        </w:rPr>
        <w:t>3</w:t>
      </w:r>
      <w:r>
        <w:rPr>
          <w:rFonts w:ascii="宋体" w:hAnsi="宋体" w:cs="宋体"/>
        </w:rPr>
        <w:t>/t</w:t>
      </w:r>
      <w:r>
        <w:rPr>
          <w:rFonts w:hint="eastAsia" w:ascii="宋体" w:hAnsi="宋体" w:cs="宋体"/>
        </w:rPr>
        <w:t>。</w:t>
      </w:r>
      <w:r>
        <w:rPr>
          <w:rFonts w:ascii="宋体" w:hAnsi="宋体" w:cs="宋体"/>
        </w:rPr>
        <w:t>先进值的选取占调研占比的14.3%</w:t>
      </w:r>
      <w:r>
        <w:rPr>
          <w:rFonts w:hint="eastAsia" w:ascii="宋体" w:hAnsi="宋体" w:cs="宋体"/>
        </w:rPr>
        <w:t>，平均数为</w:t>
      </w:r>
      <w:r>
        <w:rPr>
          <w:rFonts w:ascii="宋体" w:hAnsi="宋体" w:cs="宋体"/>
        </w:rPr>
        <w:t>260m</w:t>
      </w:r>
      <w:r>
        <w:rPr>
          <w:rFonts w:ascii="宋体" w:hAnsi="宋体" w:cs="宋体"/>
          <w:vertAlign w:val="superscript"/>
        </w:rPr>
        <w:t>3</w:t>
      </w:r>
      <w:r>
        <w:rPr>
          <w:rFonts w:ascii="宋体" w:hAnsi="宋体" w:cs="宋体"/>
        </w:rPr>
        <w:t>/t。本标准给出该项指标方便企业对标达标，具有广泛的指导意义。</w:t>
      </w:r>
    </w:p>
    <w:bookmarkEnd w:id="53"/>
    <w:bookmarkEnd w:id="54"/>
    <w:bookmarkEnd w:id="55"/>
    <w:bookmarkEnd w:id="56"/>
    <w:bookmarkEnd w:id="57"/>
    <w:p>
      <w:pPr>
        <w:pStyle w:val="3"/>
        <w:spacing w:before="0" w:after="0" w:line="360" w:lineRule="auto"/>
        <w:rPr>
          <w:rFonts w:ascii="Times" w:hAnsi="Times" w:eastAsia="宋体" w:cs="Times New Roman"/>
          <w:sz w:val="28"/>
          <w:szCs w:val="28"/>
        </w:rPr>
      </w:pPr>
      <w:bookmarkStart w:id="74" w:name="_Toc18360"/>
      <w:r>
        <w:rPr>
          <w:rFonts w:hint="eastAsia" w:ascii="Times" w:hAnsi="Times" w:eastAsia="宋体" w:cs="Times New Roman"/>
          <w:sz w:val="28"/>
          <w:szCs w:val="28"/>
        </w:rPr>
        <w:t>5 与国际、国外同类标准水平的对比情况</w:t>
      </w:r>
      <w:bookmarkEnd w:id="74"/>
    </w:p>
    <w:p>
      <w:pPr>
        <w:spacing w:line="360" w:lineRule="auto"/>
        <w:ind w:firstLine="420" w:firstLineChars="200"/>
        <w:jc w:val="left"/>
        <w:rPr>
          <w:rFonts w:ascii="宋体" w:hAnsi="宋体" w:cs="宋体"/>
        </w:rPr>
      </w:pPr>
      <w:r>
        <w:rPr>
          <w:rFonts w:hint="eastAsia" w:ascii="宋体" w:hAnsi="宋体" w:cs="宋体"/>
        </w:rPr>
        <w:t>国外无此类标准。</w:t>
      </w:r>
    </w:p>
    <w:p>
      <w:pPr>
        <w:spacing w:line="360" w:lineRule="auto"/>
        <w:ind w:firstLine="420" w:firstLineChars="200"/>
        <w:jc w:val="left"/>
        <w:rPr>
          <w:rFonts w:ascii="宋体" w:hAnsi="宋体" w:cs="宋体"/>
        </w:rPr>
      </w:pPr>
      <w:r>
        <w:rPr>
          <w:rFonts w:hint="eastAsia" w:ascii="宋体" w:hAnsi="宋体" w:cs="宋体"/>
        </w:rPr>
        <w:t>本文件与《取水定额 第1</w:t>
      </w:r>
      <w:r>
        <w:rPr>
          <w:rFonts w:ascii="宋体" w:hAnsi="宋体" w:cs="宋体"/>
        </w:rPr>
        <w:t>4</w:t>
      </w:r>
      <w:r>
        <w:rPr>
          <w:rFonts w:hint="eastAsia" w:ascii="宋体" w:hAnsi="宋体" w:cs="宋体"/>
        </w:rPr>
        <w:t>部分：毛纺织产品》国家标准中新建、改扩建企业水平相同，是行业中标杆企业可以达到的指标，目的是通过标杆示范作用带动全行业节水、降耗、减排水平的提高。</w:t>
      </w:r>
    </w:p>
    <w:p>
      <w:pPr>
        <w:pStyle w:val="3"/>
        <w:spacing w:before="0" w:after="0" w:line="360" w:lineRule="auto"/>
        <w:rPr>
          <w:rFonts w:ascii="Times" w:hAnsi="Times" w:eastAsia="宋体" w:cs="Times New Roman"/>
          <w:sz w:val="28"/>
          <w:szCs w:val="28"/>
        </w:rPr>
      </w:pPr>
      <w:bookmarkStart w:id="75" w:name="_Toc25590"/>
      <w:r>
        <w:rPr>
          <w:rFonts w:hint="eastAsia" w:ascii="Times" w:hAnsi="Times" w:eastAsia="宋体" w:cs="Times New Roman"/>
          <w:sz w:val="28"/>
          <w:szCs w:val="28"/>
        </w:rPr>
        <w:t>6 与现行法律、法规和强制性国家标准的关系</w:t>
      </w:r>
      <w:bookmarkEnd w:id="75"/>
    </w:p>
    <w:p>
      <w:pPr>
        <w:spacing w:line="360" w:lineRule="auto"/>
        <w:ind w:firstLine="420" w:firstLineChars="200"/>
        <w:rPr>
          <w:rFonts w:ascii="宋体" w:hAnsi="宋体" w:cs="宋体"/>
          <w:color w:val="000000"/>
        </w:rPr>
      </w:pPr>
      <w:r>
        <w:rPr>
          <w:rFonts w:hint="eastAsia" w:ascii="宋体" w:hAnsi="宋体" w:cs="宋体"/>
          <w:color w:val="000000"/>
        </w:rPr>
        <w:t>本标准与现行的国家标准、行业标准、规范文件等都有较好的协调和统一，所设定指标具有先进性。本标准为第二次修订，与国内其它标准无交叉、无冲突。</w:t>
      </w:r>
    </w:p>
    <w:p>
      <w:pPr>
        <w:pStyle w:val="3"/>
        <w:spacing w:before="0" w:after="0" w:line="360" w:lineRule="auto"/>
        <w:rPr>
          <w:rFonts w:ascii="Times" w:hAnsi="Times" w:eastAsia="宋体" w:cs="Times New Roman"/>
          <w:sz w:val="28"/>
          <w:szCs w:val="28"/>
        </w:rPr>
      </w:pPr>
      <w:bookmarkStart w:id="76" w:name="_Toc26061"/>
      <w:r>
        <w:rPr>
          <w:rFonts w:hint="eastAsia" w:ascii="Times" w:hAnsi="Times" w:eastAsia="宋体" w:cs="Times New Roman"/>
          <w:sz w:val="28"/>
          <w:szCs w:val="28"/>
        </w:rPr>
        <w:t>7 重大分岐意见处理经过和依据</w:t>
      </w:r>
      <w:bookmarkEnd w:id="76"/>
    </w:p>
    <w:p>
      <w:pPr>
        <w:spacing w:line="360" w:lineRule="auto"/>
        <w:ind w:firstLine="420" w:firstLineChars="200"/>
        <w:rPr>
          <w:rFonts w:ascii="宋体" w:hAnsi="宋体" w:cs="宋体"/>
          <w:color w:val="000000"/>
        </w:rPr>
      </w:pPr>
      <w:r>
        <w:rPr>
          <w:rFonts w:hint="eastAsia" w:ascii="宋体" w:hAnsi="宋体" w:cs="宋体"/>
          <w:color w:val="000000"/>
        </w:rPr>
        <w:t>无。</w:t>
      </w:r>
    </w:p>
    <w:p>
      <w:pPr>
        <w:pStyle w:val="3"/>
        <w:spacing w:before="0" w:after="0" w:line="360" w:lineRule="auto"/>
        <w:rPr>
          <w:rFonts w:ascii="Times" w:hAnsi="Times" w:eastAsia="宋体" w:cs="Times New Roman"/>
          <w:sz w:val="28"/>
          <w:szCs w:val="28"/>
        </w:rPr>
      </w:pPr>
      <w:bookmarkStart w:id="77" w:name="_Toc14022"/>
      <w:r>
        <w:rPr>
          <w:rFonts w:hint="eastAsia" w:ascii="Times" w:hAnsi="Times" w:eastAsia="宋体" w:cs="Times New Roman"/>
          <w:sz w:val="28"/>
          <w:szCs w:val="28"/>
        </w:rPr>
        <w:t>8 涉及国内外专利及处置情况</w:t>
      </w:r>
      <w:bookmarkEnd w:id="77"/>
    </w:p>
    <w:p>
      <w:pPr>
        <w:spacing w:line="360" w:lineRule="auto"/>
        <w:ind w:firstLine="420" w:firstLineChars="200"/>
        <w:rPr>
          <w:rFonts w:hint="eastAsia" w:ascii="宋体" w:hAnsi="宋体" w:cs="宋体"/>
          <w:color w:val="000000"/>
        </w:rPr>
      </w:pPr>
      <w:r>
        <w:rPr>
          <w:rFonts w:hint="eastAsia" w:ascii="宋体" w:hAnsi="宋体" w:cs="宋体"/>
          <w:color w:val="000000"/>
        </w:rPr>
        <w:t>本标准不涉及国内外专利情况。</w:t>
      </w:r>
    </w:p>
    <w:p>
      <w:pPr>
        <w:pStyle w:val="3"/>
        <w:spacing w:before="0" w:after="0" w:line="360" w:lineRule="auto"/>
        <w:rPr>
          <w:rFonts w:hint="eastAsia" w:ascii="Times" w:hAnsi="Times" w:eastAsia="宋体" w:cs="Times New Roman"/>
          <w:sz w:val="28"/>
          <w:szCs w:val="28"/>
          <w:lang w:val="en-US" w:eastAsia="zh-CN"/>
        </w:rPr>
      </w:pPr>
      <w:bookmarkStart w:id="78" w:name="_Toc4937"/>
      <w:bookmarkStart w:id="79" w:name="_Toc449"/>
      <w:bookmarkStart w:id="80" w:name="_Toc31806"/>
      <w:bookmarkStart w:id="81" w:name="_Toc19687"/>
      <w:bookmarkStart w:id="82" w:name="_Toc29138"/>
      <w:r>
        <w:rPr>
          <w:rFonts w:hint="eastAsia" w:ascii="Times" w:hAnsi="Times" w:eastAsia="宋体" w:cs="Times New Roman"/>
          <w:sz w:val="28"/>
          <w:szCs w:val="28"/>
          <w:lang w:val="en-US" w:eastAsia="zh-CN"/>
        </w:rPr>
        <w:t>9对标准实施的建议</w:t>
      </w:r>
      <w:bookmarkEnd w:id="78"/>
      <w:bookmarkEnd w:id="79"/>
      <w:bookmarkEnd w:id="80"/>
      <w:bookmarkEnd w:id="81"/>
      <w:bookmarkEnd w:id="82"/>
    </w:p>
    <w:p>
      <w:pPr>
        <w:pStyle w:val="38"/>
        <w:spacing w:line="360" w:lineRule="auto"/>
        <w:rPr>
          <w:rFonts w:hint="eastAsia" w:ascii="Times New Roman" w:hAnsi="Times New Roman" w:eastAsia="宋体" w:cs="Times New Roman"/>
          <w:color w:val="000000"/>
        </w:rPr>
      </w:pPr>
      <w:r>
        <w:rPr>
          <w:rFonts w:hint="eastAsia" w:ascii="Times New Roman" w:hAnsi="Times New Roman" w:eastAsia="宋体" w:cs="Times New Roman"/>
          <w:color w:val="000000"/>
        </w:rPr>
        <w:t>建议本文件自发布之日</w:t>
      </w:r>
      <w:r>
        <w:rPr>
          <w:rFonts w:hint="eastAsia" w:ascii="Times New Roman" w:cs="Times New Roman"/>
          <w:color w:val="000000"/>
          <w:lang w:val="en-US" w:eastAsia="zh-CN"/>
        </w:rPr>
        <w:t>起</w:t>
      </w:r>
      <w:r>
        <w:rPr>
          <w:rFonts w:hint="eastAsia" w:ascii="Times New Roman" w:hAnsi="Times New Roman" w:eastAsia="宋体" w:cs="Times New Roman"/>
          <w:color w:val="000000"/>
        </w:rPr>
        <w:t>实施。</w:t>
      </w:r>
    </w:p>
    <w:p>
      <w:pPr>
        <w:pStyle w:val="3"/>
        <w:spacing w:before="0" w:after="0" w:line="360" w:lineRule="auto"/>
        <w:rPr>
          <w:rFonts w:hint="eastAsia" w:ascii="Times" w:hAnsi="Times" w:eastAsia="宋体" w:cs="Times New Roman"/>
          <w:sz w:val="28"/>
          <w:szCs w:val="28"/>
          <w:lang w:val="en-US" w:eastAsia="zh-CN"/>
        </w:rPr>
      </w:pPr>
      <w:bookmarkStart w:id="83" w:name="_Toc24484"/>
      <w:bookmarkStart w:id="84" w:name="_Toc3035"/>
      <w:bookmarkStart w:id="85" w:name="_Toc23111"/>
      <w:bookmarkStart w:id="86" w:name="_Toc30227"/>
      <w:bookmarkStart w:id="87" w:name="_Toc25207"/>
      <w:r>
        <w:rPr>
          <w:rFonts w:hint="eastAsia" w:ascii="Times" w:hAnsi="Times" w:eastAsia="宋体" w:cs="Times New Roman"/>
          <w:sz w:val="28"/>
          <w:szCs w:val="28"/>
          <w:lang w:val="en-US" w:eastAsia="zh-CN"/>
        </w:rPr>
        <w:t>10其他应予说明的事项</w:t>
      </w:r>
      <w:bookmarkEnd w:id="83"/>
      <w:bookmarkEnd w:id="84"/>
      <w:bookmarkEnd w:id="85"/>
      <w:bookmarkEnd w:id="86"/>
      <w:bookmarkEnd w:id="87"/>
    </w:p>
    <w:p>
      <w:pPr>
        <w:widowControl/>
        <w:spacing w:line="360" w:lineRule="auto"/>
        <w:ind w:firstLine="480" w:firstLineChars="200"/>
        <w:jc w:val="left"/>
        <w:rPr>
          <w:rFonts w:hint="eastAsia"/>
        </w:rPr>
      </w:pPr>
      <w:r>
        <w:rPr>
          <w:rFonts w:hint="eastAsia" w:ascii="Times New Roman" w:hAnsi="Times New Roman" w:eastAsia="宋体" w:cs="Times New Roman"/>
          <w:sz w:val="24"/>
          <w:szCs w:val="24"/>
        </w:rPr>
        <w:t>无。</w:t>
      </w:r>
    </w:p>
    <w:p>
      <w:pPr>
        <w:pStyle w:val="2"/>
        <w:outlineLvl w:val="9"/>
      </w:pPr>
    </w:p>
    <w:sectPr>
      <w:footerReference r:id="rId3" w:type="default"/>
      <w:pgSz w:w="11906" w:h="16838"/>
      <w:pgMar w:top="1440" w:right="1797" w:bottom="1440"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rStyle w:val="25"/>
      </w:rPr>
      <w:fldChar w:fldCharType="begin"/>
    </w:r>
    <w:r>
      <w:rPr>
        <w:rStyle w:val="25"/>
      </w:rPr>
      <w:instrText xml:space="preserve"> PAGE </w:instrText>
    </w:r>
    <w:r>
      <w:rPr>
        <w:rStyle w:val="25"/>
      </w:rPr>
      <w:fldChar w:fldCharType="separate"/>
    </w:r>
    <w:r>
      <w:rPr>
        <w:rStyle w:val="25"/>
      </w:rPr>
      <w:t>9</w:t>
    </w:r>
    <w:r>
      <w:rPr>
        <w:rStyle w:val="2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0"/>
      <w:suff w:val="nothing"/>
      <w:lvlText w:val="%1　"/>
      <w:lvlJc w:val="left"/>
      <w:pPr>
        <w:ind w:left="142"/>
      </w:pPr>
      <w:rPr>
        <w:rFonts w:hint="eastAsia" w:ascii="黑体" w:hAnsi="Times New Roman" w:eastAsia="黑体" w:cs="Times New Roman"/>
        <w:b/>
        <w:i w:val="0"/>
        <w:sz w:val="30"/>
        <w:szCs w:val="30"/>
      </w:rPr>
    </w:lvl>
    <w:lvl w:ilvl="1" w:tentative="0">
      <w:start w:val="1"/>
      <w:numFmt w:val="decimal"/>
      <w:pStyle w:val="39"/>
      <w:suff w:val="nothing"/>
      <w:lvlText w:val="%1.%2　"/>
      <w:lvlJc w:val="left"/>
      <w:rPr>
        <w:rFonts w:hint="eastAsia" w:ascii="宋体" w:hAnsi="宋体" w:eastAsia="宋体" w:cs="Times New Roman"/>
        <w:b/>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1"/>
      <w:suff w:val="nothing"/>
      <w:lvlText w:val="%1.%2.%3　"/>
      <w:lvlJc w:val="left"/>
      <w:rPr>
        <w:rFonts w:hint="eastAsia" w:ascii="黑体" w:hAnsi="Times New Roman" w:eastAsia="黑体" w:cs="Times New Roman"/>
        <w:b w:val="0"/>
        <w:i w:val="0"/>
        <w:sz w:val="21"/>
      </w:rPr>
    </w:lvl>
    <w:lvl w:ilvl="3" w:tentative="0">
      <w:start w:val="1"/>
      <w:numFmt w:val="decimal"/>
      <w:pStyle w:val="43"/>
      <w:suff w:val="nothing"/>
      <w:lvlText w:val="%1.%2.%3.%4　"/>
      <w:lvlJc w:val="left"/>
      <w:rPr>
        <w:rFonts w:hint="eastAsia" w:ascii="黑体" w:hAnsi="Times New Roman" w:eastAsia="黑体" w:cs="Times New Roman"/>
        <w:b w:val="0"/>
        <w:i w:val="0"/>
        <w:sz w:val="21"/>
      </w:rPr>
    </w:lvl>
    <w:lvl w:ilvl="4" w:tentative="0">
      <w:start w:val="1"/>
      <w:numFmt w:val="decimal"/>
      <w:pStyle w:val="44"/>
      <w:suff w:val="nothing"/>
      <w:lvlText w:val="%1.%2.%3.%4.%5　"/>
      <w:lvlJc w:val="left"/>
      <w:rPr>
        <w:rFonts w:hint="eastAsia" w:ascii="黑体" w:hAnsi="Times New Roman" w:eastAsia="黑体" w:cs="Times New Roman"/>
        <w:b w:val="0"/>
        <w:i w:val="0"/>
        <w:sz w:val="21"/>
      </w:rPr>
    </w:lvl>
    <w:lvl w:ilvl="5" w:tentative="0">
      <w:start w:val="1"/>
      <w:numFmt w:val="decimal"/>
      <w:pStyle w:val="45"/>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cs="Times New Roman"/>
      </w:rPr>
    </w:lvl>
    <w:lvl w:ilvl="8" w:tentative="0">
      <w:start w:val="1"/>
      <w:numFmt w:val="decimal"/>
      <w:lvlText w:val="%1.%2.%3.%4.%5.%6.%7.%8.%9"/>
      <w:lvlJc w:val="left"/>
      <w:pPr>
        <w:tabs>
          <w:tab w:val="left" w:pos="4777"/>
        </w:tabs>
        <w:ind w:left="4677" w:hanging="1700"/>
      </w:pPr>
      <w:rPr>
        <w:rFonts w:cs="Times New Roman"/>
      </w:rPr>
    </w:lvl>
  </w:abstractNum>
  <w:abstractNum w:abstractNumId="1">
    <w:nsid w:val="657D3FBC"/>
    <w:multiLevelType w:val="multilevel"/>
    <w:tmpl w:val="657D3FBC"/>
    <w:lvl w:ilvl="0" w:tentative="0">
      <w:start w:val="1"/>
      <w:numFmt w:val="upperLetter"/>
      <w:pStyle w:val="63"/>
      <w:suff w:val="nothing"/>
      <w:lvlText w:val="附　录　%1"/>
      <w:lvlJc w:val="left"/>
      <w:pPr>
        <w:ind w:left="4769" w:firstLine="0"/>
      </w:pPr>
      <w:rPr>
        <w:rFonts w:hint="eastAsia" w:ascii="黑体" w:hAnsi="Times New Roman" w:eastAsia="黑体"/>
        <w:b w:val="0"/>
        <w:i w:val="0"/>
        <w:spacing w:val="0"/>
        <w:w w:val="100"/>
        <w:sz w:val="21"/>
      </w:rPr>
    </w:lvl>
    <w:lvl w:ilvl="1" w:tentative="0">
      <w:start w:val="1"/>
      <w:numFmt w:val="decimal"/>
      <w:pStyle w:val="6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9"/>
      <w:suff w:val="nothing"/>
      <w:lvlText w:val="%1.%2.%3　"/>
      <w:lvlJc w:val="left"/>
      <w:pPr>
        <w:ind w:left="0" w:firstLine="0"/>
      </w:pPr>
      <w:rPr>
        <w:rFonts w:hint="eastAsia" w:ascii="黑体" w:hAnsi="Times New Roman" w:eastAsia="黑体"/>
        <w:b w:val="0"/>
        <w:i w:val="0"/>
        <w:sz w:val="21"/>
      </w:rPr>
    </w:lvl>
    <w:lvl w:ilvl="3" w:tentative="0">
      <w:start w:val="1"/>
      <w:numFmt w:val="decimal"/>
      <w:pStyle w:val="64"/>
      <w:suff w:val="nothing"/>
      <w:lvlText w:val="%1.%2.%3.%4　"/>
      <w:lvlJc w:val="left"/>
      <w:pPr>
        <w:ind w:left="0" w:firstLine="0"/>
      </w:pPr>
      <w:rPr>
        <w:rFonts w:hint="eastAsia" w:ascii="黑体" w:hAnsi="Times New Roman" w:eastAsia="黑体"/>
        <w:b w:val="0"/>
        <w:i w:val="0"/>
        <w:sz w:val="21"/>
      </w:rPr>
    </w:lvl>
    <w:lvl w:ilvl="4" w:tentative="0">
      <w:start w:val="1"/>
      <w:numFmt w:val="decimal"/>
      <w:pStyle w:val="65"/>
      <w:suff w:val="nothing"/>
      <w:lvlText w:val="%1.%2.%3.%4.%5　"/>
      <w:lvlJc w:val="left"/>
      <w:pPr>
        <w:ind w:left="0" w:firstLine="0"/>
      </w:pPr>
      <w:rPr>
        <w:rFonts w:hint="eastAsia" w:ascii="黑体" w:hAnsi="Times New Roman" w:eastAsia="黑体"/>
        <w:b w:val="0"/>
        <w:i w:val="0"/>
        <w:sz w:val="21"/>
      </w:rPr>
    </w:lvl>
    <w:lvl w:ilvl="5" w:tentative="0">
      <w:start w:val="1"/>
      <w:numFmt w:val="decimal"/>
      <w:pStyle w:val="66"/>
      <w:suff w:val="nothing"/>
      <w:lvlText w:val="%1.%2.%3.%4.%5.%6　"/>
      <w:lvlJc w:val="left"/>
      <w:pPr>
        <w:ind w:left="0" w:firstLine="0"/>
      </w:pPr>
      <w:rPr>
        <w:rFonts w:hint="eastAsia" w:ascii="黑体" w:hAnsi="Times New Roman" w:eastAsia="黑体"/>
        <w:b w:val="0"/>
        <w:i w:val="0"/>
        <w:sz w:val="21"/>
      </w:rPr>
    </w:lvl>
    <w:lvl w:ilvl="6" w:tentative="0">
      <w:start w:val="1"/>
      <w:numFmt w:val="decimal"/>
      <w:pStyle w:val="6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420"/>
  <w:doNotHyphenateCaps/>
  <w:drawingGridHorizontalSpacing w:val="105"/>
  <w:drawingGridVerticalSpacing w:val="156"/>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yMjZhZThiZjI5MDE0NDdiZmFkMzg2Yzg3NjdkMjIifQ=="/>
  </w:docVars>
  <w:rsids>
    <w:rsidRoot w:val="002A1376"/>
    <w:rsid w:val="00002B00"/>
    <w:rsid w:val="000038CF"/>
    <w:rsid w:val="0000390D"/>
    <w:rsid w:val="00006E6A"/>
    <w:rsid w:val="000105E2"/>
    <w:rsid w:val="00011E3B"/>
    <w:rsid w:val="00013654"/>
    <w:rsid w:val="00017487"/>
    <w:rsid w:val="00017D25"/>
    <w:rsid w:val="00020A05"/>
    <w:rsid w:val="00020CA7"/>
    <w:rsid w:val="000239E1"/>
    <w:rsid w:val="00023DD2"/>
    <w:rsid w:val="00024881"/>
    <w:rsid w:val="00025B6F"/>
    <w:rsid w:val="00027A7B"/>
    <w:rsid w:val="000310E0"/>
    <w:rsid w:val="00031543"/>
    <w:rsid w:val="000329C6"/>
    <w:rsid w:val="00033440"/>
    <w:rsid w:val="00033ED5"/>
    <w:rsid w:val="000352B4"/>
    <w:rsid w:val="000356D4"/>
    <w:rsid w:val="00036DB2"/>
    <w:rsid w:val="00041CEF"/>
    <w:rsid w:val="00043DEF"/>
    <w:rsid w:val="00044C10"/>
    <w:rsid w:val="000464BF"/>
    <w:rsid w:val="00046E78"/>
    <w:rsid w:val="000507B2"/>
    <w:rsid w:val="00052B5D"/>
    <w:rsid w:val="000563C0"/>
    <w:rsid w:val="000564B4"/>
    <w:rsid w:val="000577CC"/>
    <w:rsid w:val="00057D59"/>
    <w:rsid w:val="000610CC"/>
    <w:rsid w:val="00061211"/>
    <w:rsid w:val="0006276C"/>
    <w:rsid w:val="00063961"/>
    <w:rsid w:val="00063DB4"/>
    <w:rsid w:val="00066A24"/>
    <w:rsid w:val="00066CA1"/>
    <w:rsid w:val="0007096A"/>
    <w:rsid w:val="00072603"/>
    <w:rsid w:val="00073548"/>
    <w:rsid w:val="00073F1D"/>
    <w:rsid w:val="000757BA"/>
    <w:rsid w:val="000821BB"/>
    <w:rsid w:val="000832B0"/>
    <w:rsid w:val="000941E0"/>
    <w:rsid w:val="0009694E"/>
    <w:rsid w:val="000971B2"/>
    <w:rsid w:val="000A17CF"/>
    <w:rsid w:val="000A3F89"/>
    <w:rsid w:val="000A4891"/>
    <w:rsid w:val="000A5484"/>
    <w:rsid w:val="000A6813"/>
    <w:rsid w:val="000B3A12"/>
    <w:rsid w:val="000B5309"/>
    <w:rsid w:val="000B61D0"/>
    <w:rsid w:val="000C1B5C"/>
    <w:rsid w:val="000C233E"/>
    <w:rsid w:val="000C261B"/>
    <w:rsid w:val="000C4332"/>
    <w:rsid w:val="000C569F"/>
    <w:rsid w:val="000C6642"/>
    <w:rsid w:val="000D5B58"/>
    <w:rsid w:val="000E161C"/>
    <w:rsid w:val="000E1A16"/>
    <w:rsid w:val="000E1C52"/>
    <w:rsid w:val="000E2848"/>
    <w:rsid w:val="000E3160"/>
    <w:rsid w:val="000E36A6"/>
    <w:rsid w:val="000E5FAD"/>
    <w:rsid w:val="000E611C"/>
    <w:rsid w:val="000E6E18"/>
    <w:rsid w:val="000F0572"/>
    <w:rsid w:val="000F3A6E"/>
    <w:rsid w:val="000F464D"/>
    <w:rsid w:val="000F79D6"/>
    <w:rsid w:val="0010170F"/>
    <w:rsid w:val="00104603"/>
    <w:rsid w:val="00107FE6"/>
    <w:rsid w:val="001125C7"/>
    <w:rsid w:val="00120A9F"/>
    <w:rsid w:val="0012767B"/>
    <w:rsid w:val="001311EF"/>
    <w:rsid w:val="00140187"/>
    <w:rsid w:val="00140764"/>
    <w:rsid w:val="0014233C"/>
    <w:rsid w:val="00144250"/>
    <w:rsid w:val="00151175"/>
    <w:rsid w:val="0015228C"/>
    <w:rsid w:val="00152729"/>
    <w:rsid w:val="00152E7C"/>
    <w:rsid w:val="00161E51"/>
    <w:rsid w:val="001631FE"/>
    <w:rsid w:val="00164955"/>
    <w:rsid w:val="0016521D"/>
    <w:rsid w:val="00166DD3"/>
    <w:rsid w:val="00167E12"/>
    <w:rsid w:val="001701D8"/>
    <w:rsid w:val="00171CAD"/>
    <w:rsid w:val="001724CE"/>
    <w:rsid w:val="00173762"/>
    <w:rsid w:val="00173EFB"/>
    <w:rsid w:val="001740BC"/>
    <w:rsid w:val="00174E34"/>
    <w:rsid w:val="001752DC"/>
    <w:rsid w:val="00175413"/>
    <w:rsid w:val="00176E90"/>
    <w:rsid w:val="00177394"/>
    <w:rsid w:val="001803B9"/>
    <w:rsid w:val="001807FF"/>
    <w:rsid w:val="001822BA"/>
    <w:rsid w:val="00182C3D"/>
    <w:rsid w:val="00182EBB"/>
    <w:rsid w:val="00182FAC"/>
    <w:rsid w:val="00182FE0"/>
    <w:rsid w:val="0018525A"/>
    <w:rsid w:val="00185C10"/>
    <w:rsid w:val="0018736E"/>
    <w:rsid w:val="00187A6F"/>
    <w:rsid w:val="00187E48"/>
    <w:rsid w:val="00191968"/>
    <w:rsid w:val="00192F47"/>
    <w:rsid w:val="001941FD"/>
    <w:rsid w:val="00196E14"/>
    <w:rsid w:val="001A1B66"/>
    <w:rsid w:val="001A1BB9"/>
    <w:rsid w:val="001A35C2"/>
    <w:rsid w:val="001A594E"/>
    <w:rsid w:val="001A7D60"/>
    <w:rsid w:val="001B47A6"/>
    <w:rsid w:val="001B6072"/>
    <w:rsid w:val="001B7864"/>
    <w:rsid w:val="001C0489"/>
    <w:rsid w:val="001C2047"/>
    <w:rsid w:val="001C5F23"/>
    <w:rsid w:val="001C6687"/>
    <w:rsid w:val="001D0DEF"/>
    <w:rsid w:val="001D13CF"/>
    <w:rsid w:val="001D5179"/>
    <w:rsid w:val="001E24E8"/>
    <w:rsid w:val="001E3CC4"/>
    <w:rsid w:val="001E52C2"/>
    <w:rsid w:val="001E58EF"/>
    <w:rsid w:val="001E5ECC"/>
    <w:rsid w:val="001E75ED"/>
    <w:rsid w:val="001F51A4"/>
    <w:rsid w:val="001F53F9"/>
    <w:rsid w:val="002000C9"/>
    <w:rsid w:val="0020025A"/>
    <w:rsid w:val="002024CA"/>
    <w:rsid w:val="00202E9E"/>
    <w:rsid w:val="002043B7"/>
    <w:rsid w:val="002073B2"/>
    <w:rsid w:val="00213B96"/>
    <w:rsid w:val="00220629"/>
    <w:rsid w:val="00222542"/>
    <w:rsid w:val="002306EE"/>
    <w:rsid w:val="002311FB"/>
    <w:rsid w:val="00231BE0"/>
    <w:rsid w:val="00234B5E"/>
    <w:rsid w:val="00236BB0"/>
    <w:rsid w:val="002400C3"/>
    <w:rsid w:val="00244DEC"/>
    <w:rsid w:val="00245207"/>
    <w:rsid w:val="00245E1D"/>
    <w:rsid w:val="00250639"/>
    <w:rsid w:val="0025310E"/>
    <w:rsid w:val="00255E3D"/>
    <w:rsid w:val="00257E3F"/>
    <w:rsid w:val="00266BED"/>
    <w:rsid w:val="00270FB7"/>
    <w:rsid w:val="00271812"/>
    <w:rsid w:val="00274F9C"/>
    <w:rsid w:val="00275ECB"/>
    <w:rsid w:val="0027712A"/>
    <w:rsid w:val="00280EC8"/>
    <w:rsid w:val="0028309F"/>
    <w:rsid w:val="0028586F"/>
    <w:rsid w:val="002877D0"/>
    <w:rsid w:val="00290465"/>
    <w:rsid w:val="002916A6"/>
    <w:rsid w:val="00295C57"/>
    <w:rsid w:val="002A06D0"/>
    <w:rsid w:val="002A1376"/>
    <w:rsid w:val="002A4874"/>
    <w:rsid w:val="002A4A10"/>
    <w:rsid w:val="002A5357"/>
    <w:rsid w:val="002B55AC"/>
    <w:rsid w:val="002B5840"/>
    <w:rsid w:val="002B61B1"/>
    <w:rsid w:val="002B658B"/>
    <w:rsid w:val="002B766B"/>
    <w:rsid w:val="002C041F"/>
    <w:rsid w:val="002D12A1"/>
    <w:rsid w:val="002D1C6A"/>
    <w:rsid w:val="002D28C8"/>
    <w:rsid w:val="002D2F03"/>
    <w:rsid w:val="002D6E3A"/>
    <w:rsid w:val="002D707B"/>
    <w:rsid w:val="002E0EC7"/>
    <w:rsid w:val="002E16EA"/>
    <w:rsid w:val="002E4DE6"/>
    <w:rsid w:val="002E5697"/>
    <w:rsid w:val="002F02A6"/>
    <w:rsid w:val="002F0406"/>
    <w:rsid w:val="002F5CC5"/>
    <w:rsid w:val="002F6ECC"/>
    <w:rsid w:val="002F777E"/>
    <w:rsid w:val="003023E8"/>
    <w:rsid w:val="00303648"/>
    <w:rsid w:val="00312B98"/>
    <w:rsid w:val="00314381"/>
    <w:rsid w:val="00314688"/>
    <w:rsid w:val="003157BB"/>
    <w:rsid w:val="003217E3"/>
    <w:rsid w:val="00321CCF"/>
    <w:rsid w:val="00323A25"/>
    <w:rsid w:val="003314CC"/>
    <w:rsid w:val="00331FF6"/>
    <w:rsid w:val="00334433"/>
    <w:rsid w:val="00337364"/>
    <w:rsid w:val="003400A2"/>
    <w:rsid w:val="00344F4A"/>
    <w:rsid w:val="0034524A"/>
    <w:rsid w:val="00345E99"/>
    <w:rsid w:val="00346585"/>
    <w:rsid w:val="00346B02"/>
    <w:rsid w:val="00347DB9"/>
    <w:rsid w:val="00347E21"/>
    <w:rsid w:val="003525D8"/>
    <w:rsid w:val="00365820"/>
    <w:rsid w:val="00365E82"/>
    <w:rsid w:val="00377544"/>
    <w:rsid w:val="00384BC1"/>
    <w:rsid w:val="00385CDD"/>
    <w:rsid w:val="003910E7"/>
    <w:rsid w:val="00393039"/>
    <w:rsid w:val="003941AD"/>
    <w:rsid w:val="003943B0"/>
    <w:rsid w:val="0039441A"/>
    <w:rsid w:val="0039471C"/>
    <w:rsid w:val="00394AFE"/>
    <w:rsid w:val="003A054D"/>
    <w:rsid w:val="003A19F1"/>
    <w:rsid w:val="003A2FEE"/>
    <w:rsid w:val="003B2A42"/>
    <w:rsid w:val="003B34C3"/>
    <w:rsid w:val="003B52E4"/>
    <w:rsid w:val="003C039F"/>
    <w:rsid w:val="003C1843"/>
    <w:rsid w:val="003C22FC"/>
    <w:rsid w:val="003C4A5B"/>
    <w:rsid w:val="003C4BE9"/>
    <w:rsid w:val="003C5FFF"/>
    <w:rsid w:val="003C693A"/>
    <w:rsid w:val="003D1FB1"/>
    <w:rsid w:val="003D62FC"/>
    <w:rsid w:val="003D7983"/>
    <w:rsid w:val="003E00A8"/>
    <w:rsid w:val="003E1164"/>
    <w:rsid w:val="003E2D87"/>
    <w:rsid w:val="003E59E9"/>
    <w:rsid w:val="003E6272"/>
    <w:rsid w:val="003F0842"/>
    <w:rsid w:val="003F0E4A"/>
    <w:rsid w:val="003F11BF"/>
    <w:rsid w:val="003F3687"/>
    <w:rsid w:val="003F50B8"/>
    <w:rsid w:val="003F5549"/>
    <w:rsid w:val="00400708"/>
    <w:rsid w:val="004024F4"/>
    <w:rsid w:val="00402594"/>
    <w:rsid w:val="00404365"/>
    <w:rsid w:val="00405033"/>
    <w:rsid w:val="00405458"/>
    <w:rsid w:val="00407659"/>
    <w:rsid w:val="00407B62"/>
    <w:rsid w:val="00411AE0"/>
    <w:rsid w:val="00412C6E"/>
    <w:rsid w:val="00415047"/>
    <w:rsid w:val="0042020A"/>
    <w:rsid w:val="00420D70"/>
    <w:rsid w:val="00420F87"/>
    <w:rsid w:val="00426385"/>
    <w:rsid w:val="0042660E"/>
    <w:rsid w:val="00426D9C"/>
    <w:rsid w:val="00426E87"/>
    <w:rsid w:val="004273F4"/>
    <w:rsid w:val="00427A3B"/>
    <w:rsid w:val="00427AD6"/>
    <w:rsid w:val="0043241A"/>
    <w:rsid w:val="00437EC0"/>
    <w:rsid w:val="004404B2"/>
    <w:rsid w:val="004413C3"/>
    <w:rsid w:val="00445BD8"/>
    <w:rsid w:val="00445D85"/>
    <w:rsid w:val="00446A39"/>
    <w:rsid w:val="004534E8"/>
    <w:rsid w:val="00453F2A"/>
    <w:rsid w:val="0045525C"/>
    <w:rsid w:val="00455479"/>
    <w:rsid w:val="00461F1D"/>
    <w:rsid w:val="00462AD1"/>
    <w:rsid w:val="00462BF4"/>
    <w:rsid w:val="00465400"/>
    <w:rsid w:val="00465B51"/>
    <w:rsid w:val="004673C0"/>
    <w:rsid w:val="00470F0E"/>
    <w:rsid w:val="004712E9"/>
    <w:rsid w:val="004762AD"/>
    <w:rsid w:val="004807F0"/>
    <w:rsid w:val="00484D34"/>
    <w:rsid w:val="00485C21"/>
    <w:rsid w:val="00486612"/>
    <w:rsid w:val="00486DDF"/>
    <w:rsid w:val="004904AC"/>
    <w:rsid w:val="004916F5"/>
    <w:rsid w:val="00492419"/>
    <w:rsid w:val="00493566"/>
    <w:rsid w:val="0049424A"/>
    <w:rsid w:val="004967A4"/>
    <w:rsid w:val="004A040C"/>
    <w:rsid w:val="004A14B9"/>
    <w:rsid w:val="004A19F9"/>
    <w:rsid w:val="004A1FC6"/>
    <w:rsid w:val="004A21FE"/>
    <w:rsid w:val="004A7757"/>
    <w:rsid w:val="004B4D21"/>
    <w:rsid w:val="004C0FC1"/>
    <w:rsid w:val="004C681B"/>
    <w:rsid w:val="004C7EEB"/>
    <w:rsid w:val="004D1DC5"/>
    <w:rsid w:val="004E39A4"/>
    <w:rsid w:val="004E3F16"/>
    <w:rsid w:val="004E5E44"/>
    <w:rsid w:val="004E74E9"/>
    <w:rsid w:val="004E759D"/>
    <w:rsid w:val="004E77B6"/>
    <w:rsid w:val="004F0A76"/>
    <w:rsid w:val="004F2CCD"/>
    <w:rsid w:val="004F38E3"/>
    <w:rsid w:val="004F6C1D"/>
    <w:rsid w:val="005012FA"/>
    <w:rsid w:val="00502B06"/>
    <w:rsid w:val="005049C2"/>
    <w:rsid w:val="00505090"/>
    <w:rsid w:val="0050682D"/>
    <w:rsid w:val="00506C77"/>
    <w:rsid w:val="00514B3C"/>
    <w:rsid w:val="00520B4B"/>
    <w:rsid w:val="00521782"/>
    <w:rsid w:val="00522207"/>
    <w:rsid w:val="00522998"/>
    <w:rsid w:val="00522EA8"/>
    <w:rsid w:val="00523AA0"/>
    <w:rsid w:val="00523C4F"/>
    <w:rsid w:val="005301D3"/>
    <w:rsid w:val="00531C07"/>
    <w:rsid w:val="00533BB0"/>
    <w:rsid w:val="00533D86"/>
    <w:rsid w:val="00533DD8"/>
    <w:rsid w:val="00533F04"/>
    <w:rsid w:val="00536A1C"/>
    <w:rsid w:val="0054133C"/>
    <w:rsid w:val="00541602"/>
    <w:rsid w:val="00541986"/>
    <w:rsid w:val="00542E5A"/>
    <w:rsid w:val="00547484"/>
    <w:rsid w:val="0054796C"/>
    <w:rsid w:val="00550978"/>
    <w:rsid w:val="00550F73"/>
    <w:rsid w:val="0055106F"/>
    <w:rsid w:val="00552E7E"/>
    <w:rsid w:val="0056037B"/>
    <w:rsid w:val="00561004"/>
    <w:rsid w:val="005615BF"/>
    <w:rsid w:val="00562B91"/>
    <w:rsid w:val="005649EA"/>
    <w:rsid w:val="00565113"/>
    <w:rsid w:val="005657B6"/>
    <w:rsid w:val="00567328"/>
    <w:rsid w:val="0057194B"/>
    <w:rsid w:val="005744A5"/>
    <w:rsid w:val="005812DA"/>
    <w:rsid w:val="005821AF"/>
    <w:rsid w:val="005821EC"/>
    <w:rsid w:val="00583BB8"/>
    <w:rsid w:val="00587E6A"/>
    <w:rsid w:val="00591910"/>
    <w:rsid w:val="0059233A"/>
    <w:rsid w:val="00593228"/>
    <w:rsid w:val="005A144F"/>
    <w:rsid w:val="005A4492"/>
    <w:rsid w:val="005A4B5B"/>
    <w:rsid w:val="005B65FD"/>
    <w:rsid w:val="005B711F"/>
    <w:rsid w:val="005C052B"/>
    <w:rsid w:val="005C1276"/>
    <w:rsid w:val="005C257C"/>
    <w:rsid w:val="005C5D21"/>
    <w:rsid w:val="005D2775"/>
    <w:rsid w:val="005D3F8B"/>
    <w:rsid w:val="005E340B"/>
    <w:rsid w:val="005E382F"/>
    <w:rsid w:val="005E5D70"/>
    <w:rsid w:val="005E64BD"/>
    <w:rsid w:val="005E7582"/>
    <w:rsid w:val="005F102B"/>
    <w:rsid w:val="005F1450"/>
    <w:rsid w:val="005F378A"/>
    <w:rsid w:val="005F44AE"/>
    <w:rsid w:val="005F634D"/>
    <w:rsid w:val="005F7829"/>
    <w:rsid w:val="00604626"/>
    <w:rsid w:val="006058CA"/>
    <w:rsid w:val="00607078"/>
    <w:rsid w:val="00607114"/>
    <w:rsid w:val="00613515"/>
    <w:rsid w:val="00613902"/>
    <w:rsid w:val="00615139"/>
    <w:rsid w:val="00620181"/>
    <w:rsid w:val="00621601"/>
    <w:rsid w:val="00623139"/>
    <w:rsid w:val="00630829"/>
    <w:rsid w:val="0063106D"/>
    <w:rsid w:val="00632FEC"/>
    <w:rsid w:val="00635C66"/>
    <w:rsid w:val="00636EA8"/>
    <w:rsid w:val="006444E4"/>
    <w:rsid w:val="00645074"/>
    <w:rsid w:val="006502F2"/>
    <w:rsid w:val="006508CE"/>
    <w:rsid w:val="0065100A"/>
    <w:rsid w:val="0065150E"/>
    <w:rsid w:val="0065199F"/>
    <w:rsid w:val="0065558F"/>
    <w:rsid w:val="00655889"/>
    <w:rsid w:val="0066219C"/>
    <w:rsid w:val="00662900"/>
    <w:rsid w:val="0066502B"/>
    <w:rsid w:val="00666766"/>
    <w:rsid w:val="006704E0"/>
    <w:rsid w:val="00672711"/>
    <w:rsid w:val="006729BD"/>
    <w:rsid w:val="006751FA"/>
    <w:rsid w:val="0067521C"/>
    <w:rsid w:val="0067579C"/>
    <w:rsid w:val="006817F4"/>
    <w:rsid w:val="00681F62"/>
    <w:rsid w:val="00682D9C"/>
    <w:rsid w:val="00683764"/>
    <w:rsid w:val="00684F80"/>
    <w:rsid w:val="006877DE"/>
    <w:rsid w:val="006916A2"/>
    <w:rsid w:val="00695939"/>
    <w:rsid w:val="00696027"/>
    <w:rsid w:val="00696564"/>
    <w:rsid w:val="006974F0"/>
    <w:rsid w:val="006A09E7"/>
    <w:rsid w:val="006A0DFB"/>
    <w:rsid w:val="006A3957"/>
    <w:rsid w:val="006A478E"/>
    <w:rsid w:val="006A4853"/>
    <w:rsid w:val="006A5B0B"/>
    <w:rsid w:val="006B13F3"/>
    <w:rsid w:val="006B4975"/>
    <w:rsid w:val="006B61A8"/>
    <w:rsid w:val="006C29FE"/>
    <w:rsid w:val="006C6089"/>
    <w:rsid w:val="006C6719"/>
    <w:rsid w:val="006C7317"/>
    <w:rsid w:val="006D0350"/>
    <w:rsid w:val="006D0883"/>
    <w:rsid w:val="006D2930"/>
    <w:rsid w:val="006D386A"/>
    <w:rsid w:val="006D4363"/>
    <w:rsid w:val="006D4B41"/>
    <w:rsid w:val="006D5EBE"/>
    <w:rsid w:val="006E04C2"/>
    <w:rsid w:val="006E0980"/>
    <w:rsid w:val="006E3D2C"/>
    <w:rsid w:val="006E52A8"/>
    <w:rsid w:val="006F292B"/>
    <w:rsid w:val="006F6A95"/>
    <w:rsid w:val="0070125B"/>
    <w:rsid w:val="0070217B"/>
    <w:rsid w:val="0070388F"/>
    <w:rsid w:val="00704091"/>
    <w:rsid w:val="00715177"/>
    <w:rsid w:val="0071697C"/>
    <w:rsid w:val="007173C5"/>
    <w:rsid w:val="00721F49"/>
    <w:rsid w:val="00724143"/>
    <w:rsid w:val="007243B7"/>
    <w:rsid w:val="0073052C"/>
    <w:rsid w:val="00731CD8"/>
    <w:rsid w:val="007328E5"/>
    <w:rsid w:val="007354BE"/>
    <w:rsid w:val="00736B02"/>
    <w:rsid w:val="00741C2B"/>
    <w:rsid w:val="007448BF"/>
    <w:rsid w:val="0075003D"/>
    <w:rsid w:val="00751487"/>
    <w:rsid w:val="007541B6"/>
    <w:rsid w:val="0076152E"/>
    <w:rsid w:val="00761EAD"/>
    <w:rsid w:val="00762897"/>
    <w:rsid w:val="00764B00"/>
    <w:rsid w:val="00764DEA"/>
    <w:rsid w:val="007665A4"/>
    <w:rsid w:val="00767C7F"/>
    <w:rsid w:val="00767D06"/>
    <w:rsid w:val="00773F4B"/>
    <w:rsid w:val="0077491E"/>
    <w:rsid w:val="00774E3A"/>
    <w:rsid w:val="007779BC"/>
    <w:rsid w:val="00786FE9"/>
    <w:rsid w:val="0078754E"/>
    <w:rsid w:val="00790155"/>
    <w:rsid w:val="00790B87"/>
    <w:rsid w:val="00792FAB"/>
    <w:rsid w:val="00793BCB"/>
    <w:rsid w:val="00794BC7"/>
    <w:rsid w:val="007A192F"/>
    <w:rsid w:val="007A1C48"/>
    <w:rsid w:val="007A501B"/>
    <w:rsid w:val="007B1BF8"/>
    <w:rsid w:val="007B265B"/>
    <w:rsid w:val="007B2C08"/>
    <w:rsid w:val="007B3F11"/>
    <w:rsid w:val="007B47C4"/>
    <w:rsid w:val="007B5DA6"/>
    <w:rsid w:val="007C171C"/>
    <w:rsid w:val="007C21BC"/>
    <w:rsid w:val="007C3AA8"/>
    <w:rsid w:val="007C4200"/>
    <w:rsid w:val="007C6448"/>
    <w:rsid w:val="007D007E"/>
    <w:rsid w:val="007D21CC"/>
    <w:rsid w:val="007D2ED1"/>
    <w:rsid w:val="007E063B"/>
    <w:rsid w:val="007E27C5"/>
    <w:rsid w:val="007E59A8"/>
    <w:rsid w:val="007E61B0"/>
    <w:rsid w:val="007F1164"/>
    <w:rsid w:val="007F3BE2"/>
    <w:rsid w:val="007F5616"/>
    <w:rsid w:val="00800664"/>
    <w:rsid w:val="00802EE7"/>
    <w:rsid w:val="00802EF3"/>
    <w:rsid w:val="00803324"/>
    <w:rsid w:val="008034CE"/>
    <w:rsid w:val="00803C1F"/>
    <w:rsid w:val="008060A5"/>
    <w:rsid w:val="00806294"/>
    <w:rsid w:val="008128DB"/>
    <w:rsid w:val="00813BF6"/>
    <w:rsid w:val="008149F3"/>
    <w:rsid w:val="00817E56"/>
    <w:rsid w:val="00820119"/>
    <w:rsid w:val="00820E28"/>
    <w:rsid w:val="0082111C"/>
    <w:rsid w:val="00824E1A"/>
    <w:rsid w:val="00825D97"/>
    <w:rsid w:val="00826FB3"/>
    <w:rsid w:val="008278E7"/>
    <w:rsid w:val="008307D3"/>
    <w:rsid w:val="008329CF"/>
    <w:rsid w:val="00834BDA"/>
    <w:rsid w:val="00835067"/>
    <w:rsid w:val="0085360A"/>
    <w:rsid w:val="00855E8A"/>
    <w:rsid w:val="008567B0"/>
    <w:rsid w:val="00860563"/>
    <w:rsid w:val="008627D8"/>
    <w:rsid w:val="008641DC"/>
    <w:rsid w:val="00870996"/>
    <w:rsid w:val="00873868"/>
    <w:rsid w:val="00874104"/>
    <w:rsid w:val="00875AE7"/>
    <w:rsid w:val="00875C38"/>
    <w:rsid w:val="00875E35"/>
    <w:rsid w:val="008771A1"/>
    <w:rsid w:val="00884F3A"/>
    <w:rsid w:val="00886B6F"/>
    <w:rsid w:val="00887827"/>
    <w:rsid w:val="008938FD"/>
    <w:rsid w:val="00894403"/>
    <w:rsid w:val="00894E97"/>
    <w:rsid w:val="008A171A"/>
    <w:rsid w:val="008A36FD"/>
    <w:rsid w:val="008B07CB"/>
    <w:rsid w:val="008B089C"/>
    <w:rsid w:val="008B26C8"/>
    <w:rsid w:val="008B4363"/>
    <w:rsid w:val="008B5286"/>
    <w:rsid w:val="008B7D9F"/>
    <w:rsid w:val="008C50B8"/>
    <w:rsid w:val="008D1324"/>
    <w:rsid w:val="008D2202"/>
    <w:rsid w:val="008D27E6"/>
    <w:rsid w:val="008D2885"/>
    <w:rsid w:val="008D4E0E"/>
    <w:rsid w:val="008D6B54"/>
    <w:rsid w:val="008E07DE"/>
    <w:rsid w:val="008E3AD5"/>
    <w:rsid w:val="008F105F"/>
    <w:rsid w:val="008F4443"/>
    <w:rsid w:val="008F49F6"/>
    <w:rsid w:val="008F4B58"/>
    <w:rsid w:val="008F61F3"/>
    <w:rsid w:val="009049AF"/>
    <w:rsid w:val="009053DE"/>
    <w:rsid w:val="00905BD4"/>
    <w:rsid w:val="009076BC"/>
    <w:rsid w:val="0091020E"/>
    <w:rsid w:val="00915EB6"/>
    <w:rsid w:val="009170EE"/>
    <w:rsid w:val="00921150"/>
    <w:rsid w:val="0092147F"/>
    <w:rsid w:val="009247F9"/>
    <w:rsid w:val="00924C0E"/>
    <w:rsid w:val="009258BF"/>
    <w:rsid w:val="0092617A"/>
    <w:rsid w:val="00931C47"/>
    <w:rsid w:val="00933641"/>
    <w:rsid w:val="00933AED"/>
    <w:rsid w:val="009340C2"/>
    <w:rsid w:val="00935712"/>
    <w:rsid w:val="0094148E"/>
    <w:rsid w:val="00941EB3"/>
    <w:rsid w:val="009435E1"/>
    <w:rsid w:val="00946DFB"/>
    <w:rsid w:val="00950848"/>
    <w:rsid w:val="00952B05"/>
    <w:rsid w:val="00956078"/>
    <w:rsid w:val="009562BC"/>
    <w:rsid w:val="00957118"/>
    <w:rsid w:val="00961826"/>
    <w:rsid w:val="00963788"/>
    <w:rsid w:val="00965715"/>
    <w:rsid w:val="009663EE"/>
    <w:rsid w:val="00970E4F"/>
    <w:rsid w:val="009730A0"/>
    <w:rsid w:val="00974A40"/>
    <w:rsid w:val="00977D04"/>
    <w:rsid w:val="009803BB"/>
    <w:rsid w:val="00985BAD"/>
    <w:rsid w:val="00986972"/>
    <w:rsid w:val="00986F41"/>
    <w:rsid w:val="0099029B"/>
    <w:rsid w:val="00992A3E"/>
    <w:rsid w:val="00992C6E"/>
    <w:rsid w:val="00993394"/>
    <w:rsid w:val="0099445D"/>
    <w:rsid w:val="009947EF"/>
    <w:rsid w:val="0099506C"/>
    <w:rsid w:val="00995A0F"/>
    <w:rsid w:val="00996078"/>
    <w:rsid w:val="009978FC"/>
    <w:rsid w:val="009A00C6"/>
    <w:rsid w:val="009A0CB4"/>
    <w:rsid w:val="009A269C"/>
    <w:rsid w:val="009A7475"/>
    <w:rsid w:val="009A7CBD"/>
    <w:rsid w:val="009B0A07"/>
    <w:rsid w:val="009B0BD7"/>
    <w:rsid w:val="009B3CF8"/>
    <w:rsid w:val="009B43E8"/>
    <w:rsid w:val="009B4CDC"/>
    <w:rsid w:val="009B5EAE"/>
    <w:rsid w:val="009C33D4"/>
    <w:rsid w:val="009C38EB"/>
    <w:rsid w:val="009C46D4"/>
    <w:rsid w:val="009C53BF"/>
    <w:rsid w:val="009C6A85"/>
    <w:rsid w:val="009D0803"/>
    <w:rsid w:val="009D13AF"/>
    <w:rsid w:val="009D2B42"/>
    <w:rsid w:val="009D65E8"/>
    <w:rsid w:val="009E06A8"/>
    <w:rsid w:val="009E0E1E"/>
    <w:rsid w:val="009E0E9B"/>
    <w:rsid w:val="009E3BE0"/>
    <w:rsid w:val="009E4A43"/>
    <w:rsid w:val="009E523E"/>
    <w:rsid w:val="009E783F"/>
    <w:rsid w:val="009F051D"/>
    <w:rsid w:val="009F3149"/>
    <w:rsid w:val="009F56B1"/>
    <w:rsid w:val="009F58D0"/>
    <w:rsid w:val="009F5FE4"/>
    <w:rsid w:val="00A0188F"/>
    <w:rsid w:val="00A03AA1"/>
    <w:rsid w:val="00A03C1A"/>
    <w:rsid w:val="00A04944"/>
    <w:rsid w:val="00A05CBB"/>
    <w:rsid w:val="00A07540"/>
    <w:rsid w:val="00A10110"/>
    <w:rsid w:val="00A11061"/>
    <w:rsid w:val="00A140B5"/>
    <w:rsid w:val="00A15648"/>
    <w:rsid w:val="00A26734"/>
    <w:rsid w:val="00A2728E"/>
    <w:rsid w:val="00A30B59"/>
    <w:rsid w:val="00A3282B"/>
    <w:rsid w:val="00A34415"/>
    <w:rsid w:val="00A34DF5"/>
    <w:rsid w:val="00A37398"/>
    <w:rsid w:val="00A42B5B"/>
    <w:rsid w:val="00A430D4"/>
    <w:rsid w:val="00A44632"/>
    <w:rsid w:val="00A506DB"/>
    <w:rsid w:val="00A52088"/>
    <w:rsid w:val="00A52F7A"/>
    <w:rsid w:val="00A542E5"/>
    <w:rsid w:val="00A62130"/>
    <w:rsid w:val="00A626AD"/>
    <w:rsid w:val="00A6357A"/>
    <w:rsid w:val="00A635ED"/>
    <w:rsid w:val="00A71EBB"/>
    <w:rsid w:val="00A73EA8"/>
    <w:rsid w:val="00A744DD"/>
    <w:rsid w:val="00A75578"/>
    <w:rsid w:val="00A77DEB"/>
    <w:rsid w:val="00A831F3"/>
    <w:rsid w:val="00A8352C"/>
    <w:rsid w:val="00A8456C"/>
    <w:rsid w:val="00A84857"/>
    <w:rsid w:val="00A872D7"/>
    <w:rsid w:val="00A9042F"/>
    <w:rsid w:val="00A90E55"/>
    <w:rsid w:val="00A91016"/>
    <w:rsid w:val="00A964CE"/>
    <w:rsid w:val="00AA1492"/>
    <w:rsid w:val="00AA40C1"/>
    <w:rsid w:val="00AA4BBD"/>
    <w:rsid w:val="00AA6B0D"/>
    <w:rsid w:val="00AB24C5"/>
    <w:rsid w:val="00AB3199"/>
    <w:rsid w:val="00AB4D84"/>
    <w:rsid w:val="00AB6747"/>
    <w:rsid w:val="00AB7A0A"/>
    <w:rsid w:val="00AC2EF4"/>
    <w:rsid w:val="00AC3AE2"/>
    <w:rsid w:val="00AC3CB6"/>
    <w:rsid w:val="00AD3B94"/>
    <w:rsid w:val="00AD3EEB"/>
    <w:rsid w:val="00AE1F4B"/>
    <w:rsid w:val="00AE34BB"/>
    <w:rsid w:val="00AE5005"/>
    <w:rsid w:val="00AE5F03"/>
    <w:rsid w:val="00AF0E6A"/>
    <w:rsid w:val="00AF389E"/>
    <w:rsid w:val="00AF5163"/>
    <w:rsid w:val="00AF6BD0"/>
    <w:rsid w:val="00B05578"/>
    <w:rsid w:val="00B06016"/>
    <w:rsid w:val="00B1096B"/>
    <w:rsid w:val="00B12394"/>
    <w:rsid w:val="00B14C2C"/>
    <w:rsid w:val="00B15355"/>
    <w:rsid w:val="00B16BFE"/>
    <w:rsid w:val="00B17C4C"/>
    <w:rsid w:val="00B17FCF"/>
    <w:rsid w:val="00B20858"/>
    <w:rsid w:val="00B22009"/>
    <w:rsid w:val="00B22062"/>
    <w:rsid w:val="00B250E5"/>
    <w:rsid w:val="00B26A60"/>
    <w:rsid w:val="00B3191D"/>
    <w:rsid w:val="00B32E57"/>
    <w:rsid w:val="00B3475E"/>
    <w:rsid w:val="00B35128"/>
    <w:rsid w:val="00B35CD9"/>
    <w:rsid w:val="00B361AF"/>
    <w:rsid w:val="00B36814"/>
    <w:rsid w:val="00B45760"/>
    <w:rsid w:val="00B46CD8"/>
    <w:rsid w:val="00B46D61"/>
    <w:rsid w:val="00B60DDA"/>
    <w:rsid w:val="00B61114"/>
    <w:rsid w:val="00B64697"/>
    <w:rsid w:val="00B67798"/>
    <w:rsid w:val="00B717D0"/>
    <w:rsid w:val="00B742BA"/>
    <w:rsid w:val="00B75B16"/>
    <w:rsid w:val="00B7686C"/>
    <w:rsid w:val="00B770F1"/>
    <w:rsid w:val="00B816A1"/>
    <w:rsid w:val="00B85C38"/>
    <w:rsid w:val="00B85F6F"/>
    <w:rsid w:val="00B86A9C"/>
    <w:rsid w:val="00B86E1B"/>
    <w:rsid w:val="00B873C8"/>
    <w:rsid w:val="00B918DE"/>
    <w:rsid w:val="00B9190D"/>
    <w:rsid w:val="00B91CD7"/>
    <w:rsid w:val="00B95B65"/>
    <w:rsid w:val="00B979AD"/>
    <w:rsid w:val="00BA13E0"/>
    <w:rsid w:val="00BA30F3"/>
    <w:rsid w:val="00BA3A3F"/>
    <w:rsid w:val="00BA3F4B"/>
    <w:rsid w:val="00BA3F87"/>
    <w:rsid w:val="00BA57AD"/>
    <w:rsid w:val="00BA5BC9"/>
    <w:rsid w:val="00BB0496"/>
    <w:rsid w:val="00BB119B"/>
    <w:rsid w:val="00BB3FCF"/>
    <w:rsid w:val="00BC1515"/>
    <w:rsid w:val="00BC2567"/>
    <w:rsid w:val="00BC28D2"/>
    <w:rsid w:val="00BC2A25"/>
    <w:rsid w:val="00BC30E7"/>
    <w:rsid w:val="00BC3AD2"/>
    <w:rsid w:val="00BC49F5"/>
    <w:rsid w:val="00BC4CD2"/>
    <w:rsid w:val="00BC583C"/>
    <w:rsid w:val="00BC69B1"/>
    <w:rsid w:val="00BC7036"/>
    <w:rsid w:val="00BC7A4A"/>
    <w:rsid w:val="00BD4B1B"/>
    <w:rsid w:val="00BD5364"/>
    <w:rsid w:val="00BD64C7"/>
    <w:rsid w:val="00BE10D0"/>
    <w:rsid w:val="00BF49F9"/>
    <w:rsid w:val="00BF4A78"/>
    <w:rsid w:val="00C04272"/>
    <w:rsid w:val="00C04E4B"/>
    <w:rsid w:val="00C05742"/>
    <w:rsid w:val="00C101FE"/>
    <w:rsid w:val="00C127BC"/>
    <w:rsid w:val="00C15EBE"/>
    <w:rsid w:val="00C32136"/>
    <w:rsid w:val="00C34670"/>
    <w:rsid w:val="00C362AE"/>
    <w:rsid w:val="00C40221"/>
    <w:rsid w:val="00C42F94"/>
    <w:rsid w:val="00C44C76"/>
    <w:rsid w:val="00C47214"/>
    <w:rsid w:val="00C473FE"/>
    <w:rsid w:val="00C51856"/>
    <w:rsid w:val="00C52CA3"/>
    <w:rsid w:val="00C5319D"/>
    <w:rsid w:val="00C5475A"/>
    <w:rsid w:val="00C564ED"/>
    <w:rsid w:val="00C568DF"/>
    <w:rsid w:val="00C65B04"/>
    <w:rsid w:val="00C65FCF"/>
    <w:rsid w:val="00C706A0"/>
    <w:rsid w:val="00C70915"/>
    <w:rsid w:val="00C73ADE"/>
    <w:rsid w:val="00C74A2E"/>
    <w:rsid w:val="00C7616E"/>
    <w:rsid w:val="00C76517"/>
    <w:rsid w:val="00C80DB0"/>
    <w:rsid w:val="00C813F3"/>
    <w:rsid w:val="00C81EC0"/>
    <w:rsid w:val="00C94843"/>
    <w:rsid w:val="00C94CE7"/>
    <w:rsid w:val="00C97D14"/>
    <w:rsid w:val="00CA1344"/>
    <w:rsid w:val="00CA135A"/>
    <w:rsid w:val="00CA2027"/>
    <w:rsid w:val="00CA272B"/>
    <w:rsid w:val="00CA4F9C"/>
    <w:rsid w:val="00CA539C"/>
    <w:rsid w:val="00CA636A"/>
    <w:rsid w:val="00CA7A80"/>
    <w:rsid w:val="00CB168C"/>
    <w:rsid w:val="00CB1787"/>
    <w:rsid w:val="00CB432C"/>
    <w:rsid w:val="00CB460F"/>
    <w:rsid w:val="00CB627F"/>
    <w:rsid w:val="00CB6CFA"/>
    <w:rsid w:val="00CB783F"/>
    <w:rsid w:val="00CB7E26"/>
    <w:rsid w:val="00CC03B5"/>
    <w:rsid w:val="00CC04EA"/>
    <w:rsid w:val="00CC0721"/>
    <w:rsid w:val="00CC1B2D"/>
    <w:rsid w:val="00CC7995"/>
    <w:rsid w:val="00CD1FF5"/>
    <w:rsid w:val="00CD2B7F"/>
    <w:rsid w:val="00CD6F77"/>
    <w:rsid w:val="00CE0A23"/>
    <w:rsid w:val="00CE0E20"/>
    <w:rsid w:val="00CE203E"/>
    <w:rsid w:val="00CE2533"/>
    <w:rsid w:val="00CE3C69"/>
    <w:rsid w:val="00CE786F"/>
    <w:rsid w:val="00CF0134"/>
    <w:rsid w:val="00D0125B"/>
    <w:rsid w:val="00D054B9"/>
    <w:rsid w:val="00D05CD9"/>
    <w:rsid w:val="00D060DD"/>
    <w:rsid w:val="00D07108"/>
    <w:rsid w:val="00D074E0"/>
    <w:rsid w:val="00D121E4"/>
    <w:rsid w:val="00D1339C"/>
    <w:rsid w:val="00D140B8"/>
    <w:rsid w:val="00D174BD"/>
    <w:rsid w:val="00D20547"/>
    <w:rsid w:val="00D246F3"/>
    <w:rsid w:val="00D26F3E"/>
    <w:rsid w:val="00D3369B"/>
    <w:rsid w:val="00D373F6"/>
    <w:rsid w:val="00D37742"/>
    <w:rsid w:val="00D42FD2"/>
    <w:rsid w:val="00D4407B"/>
    <w:rsid w:val="00D447CC"/>
    <w:rsid w:val="00D5439F"/>
    <w:rsid w:val="00D562A1"/>
    <w:rsid w:val="00D565A0"/>
    <w:rsid w:val="00D62571"/>
    <w:rsid w:val="00D6443D"/>
    <w:rsid w:val="00D64AE1"/>
    <w:rsid w:val="00D70DA8"/>
    <w:rsid w:val="00D740E1"/>
    <w:rsid w:val="00D743DB"/>
    <w:rsid w:val="00D74467"/>
    <w:rsid w:val="00D77B4F"/>
    <w:rsid w:val="00D800C9"/>
    <w:rsid w:val="00D82F3E"/>
    <w:rsid w:val="00D848B0"/>
    <w:rsid w:val="00D918E3"/>
    <w:rsid w:val="00D92C94"/>
    <w:rsid w:val="00D96EB3"/>
    <w:rsid w:val="00D97EBD"/>
    <w:rsid w:val="00DA0190"/>
    <w:rsid w:val="00DA2D77"/>
    <w:rsid w:val="00DA4AC9"/>
    <w:rsid w:val="00DB43BD"/>
    <w:rsid w:val="00DB4898"/>
    <w:rsid w:val="00DB66A6"/>
    <w:rsid w:val="00DC2962"/>
    <w:rsid w:val="00DC5517"/>
    <w:rsid w:val="00DC7C2B"/>
    <w:rsid w:val="00DD3B28"/>
    <w:rsid w:val="00DD53F7"/>
    <w:rsid w:val="00DD6ADD"/>
    <w:rsid w:val="00DD70CD"/>
    <w:rsid w:val="00DD7596"/>
    <w:rsid w:val="00DE5AE2"/>
    <w:rsid w:val="00DF57DE"/>
    <w:rsid w:val="00E01DD9"/>
    <w:rsid w:val="00E109CB"/>
    <w:rsid w:val="00E122CE"/>
    <w:rsid w:val="00E13B9E"/>
    <w:rsid w:val="00E14719"/>
    <w:rsid w:val="00E1526B"/>
    <w:rsid w:val="00E15AF0"/>
    <w:rsid w:val="00E17076"/>
    <w:rsid w:val="00E17617"/>
    <w:rsid w:val="00E208FC"/>
    <w:rsid w:val="00E2354F"/>
    <w:rsid w:val="00E25202"/>
    <w:rsid w:val="00E26314"/>
    <w:rsid w:val="00E3092C"/>
    <w:rsid w:val="00E318DD"/>
    <w:rsid w:val="00E332CE"/>
    <w:rsid w:val="00E34DF5"/>
    <w:rsid w:val="00E35162"/>
    <w:rsid w:val="00E36DAF"/>
    <w:rsid w:val="00E36F64"/>
    <w:rsid w:val="00E3750D"/>
    <w:rsid w:val="00E4353D"/>
    <w:rsid w:val="00E4523F"/>
    <w:rsid w:val="00E4559F"/>
    <w:rsid w:val="00E4666D"/>
    <w:rsid w:val="00E51FAA"/>
    <w:rsid w:val="00E52C3C"/>
    <w:rsid w:val="00E53F7F"/>
    <w:rsid w:val="00E543F2"/>
    <w:rsid w:val="00E56837"/>
    <w:rsid w:val="00E56C20"/>
    <w:rsid w:val="00E57EDB"/>
    <w:rsid w:val="00E601EC"/>
    <w:rsid w:val="00E6089E"/>
    <w:rsid w:val="00E61120"/>
    <w:rsid w:val="00E6169B"/>
    <w:rsid w:val="00E64027"/>
    <w:rsid w:val="00E65339"/>
    <w:rsid w:val="00E679C5"/>
    <w:rsid w:val="00E700A6"/>
    <w:rsid w:val="00E71D02"/>
    <w:rsid w:val="00E76732"/>
    <w:rsid w:val="00E7706D"/>
    <w:rsid w:val="00E84A0C"/>
    <w:rsid w:val="00E84C4A"/>
    <w:rsid w:val="00E84CF9"/>
    <w:rsid w:val="00E85372"/>
    <w:rsid w:val="00E872AB"/>
    <w:rsid w:val="00E90B2B"/>
    <w:rsid w:val="00E935D5"/>
    <w:rsid w:val="00E97BC5"/>
    <w:rsid w:val="00EA493A"/>
    <w:rsid w:val="00EA5D83"/>
    <w:rsid w:val="00EB39E2"/>
    <w:rsid w:val="00EB3B44"/>
    <w:rsid w:val="00EC349C"/>
    <w:rsid w:val="00EC6D6D"/>
    <w:rsid w:val="00ED26E1"/>
    <w:rsid w:val="00ED2A31"/>
    <w:rsid w:val="00ED3185"/>
    <w:rsid w:val="00ED31D0"/>
    <w:rsid w:val="00ED4DA8"/>
    <w:rsid w:val="00ED5768"/>
    <w:rsid w:val="00ED5FB9"/>
    <w:rsid w:val="00ED669B"/>
    <w:rsid w:val="00ED68D1"/>
    <w:rsid w:val="00EE3033"/>
    <w:rsid w:val="00EE3FC7"/>
    <w:rsid w:val="00EE6760"/>
    <w:rsid w:val="00EE7755"/>
    <w:rsid w:val="00EE77F0"/>
    <w:rsid w:val="00EE7B1E"/>
    <w:rsid w:val="00EE7B26"/>
    <w:rsid w:val="00EF142C"/>
    <w:rsid w:val="00EF336B"/>
    <w:rsid w:val="00EF4454"/>
    <w:rsid w:val="00EF5B44"/>
    <w:rsid w:val="00EF5C66"/>
    <w:rsid w:val="00F01CB5"/>
    <w:rsid w:val="00F05BFB"/>
    <w:rsid w:val="00F07187"/>
    <w:rsid w:val="00F07B7E"/>
    <w:rsid w:val="00F11233"/>
    <w:rsid w:val="00F11677"/>
    <w:rsid w:val="00F11C87"/>
    <w:rsid w:val="00F12866"/>
    <w:rsid w:val="00F15A2D"/>
    <w:rsid w:val="00F17EA0"/>
    <w:rsid w:val="00F22DF4"/>
    <w:rsid w:val="00F339BE"/>
    <w:rsid w:val="00F33B19"/>
    <w:rsid w:val="00F4421A"/>
    <w:rsid w:val="00F46F9D"/>
    <w:rsid w:val="00F507B3"/>
    <w:rsid w:val="00F50EF1"/>
    <w:rsid w:val="00F510A9"/>
    <w:rsid w:val="00F51C5B"/>
    <w:rsid w:val="00F52AB9"/>
    <w:rsid w:val="00F54BD3"/>
    <w:rsid w:val="00F561E9"/>
    <w:rsid w:val="00F57F74"/>
    <w:rsid w:val="00F66A74"/>
    <w:rsid w:val="00F66C59"/>
    <w:rsid w:val="00F701E5"/>
    <w:rsid w:val="00F864A4"/>
    <w:rsid w:val="00F86915"/>
    <w:rsid w:val="00F90BE2"/>
    <w:rsid w:val="00F91E1E"/>
    <w:rsid w:val="00F9205E"/>
    <w:rsid w:val="00F94160"/>
    <w:rsid w:val="00F944EC"/>
    <w:rsid w:val="00FA1196"/>
    <w:rsid w:val="00FB1F9C"/>
    <w:rsid w:val="00FB2276"/>
    <w:rsid w:val="00FB22A9"/>
    <w:rsid w:val="00FB4067"/>
    <w:rsid w:val="00FB43BF"/>
    <w:rsid w:val="00FB5AFE"/>
    <w:rsid w:val="00FC4E09"/>
    <w:rsid w:val="00FC63DD"/>
    <w:rsid w:val="00FD0778"/>
    <w:rsid w:val="00FD0E8B"/>
    <w:rsid w:val="00FD0ECA"/>
    <w:rsid w:val="00FE14C2"/>
    <w:rsid w:val="00FE2BD4"/>
    <w:rsid w:val="00FE3815"/>
    <w:rsid w:val="00FE3A76"/>
    <w:rsid w:val="00FE3E03"/>
    <w:rsid w:val="00FE5B38"/>
    <w:rsid w:val="00FE6F97"/>
    <w:rsid w:val="00FF1D3F"/>
    <w:rsid w:val="00FF48E9"/>
    <w:rsid w:val="00FF4FB7"/>
    <w:rsid w:val="00FF796C"/>
    <w:rsid w:val="017837F0"/>
    <w:rsid w:val="01EA0118"/>
    <w:rsid w:val="02182FD4"/>
    <w:rsid w:val="02B157C6"/>
    <w:rsid w:val="03186DED"/>
    <w:rsid w:val="04722C3D"/>
    <w:rsid w:val="04CE6566"/>
    <w:rsid w:val="050A1DF3"/>
    <w:rsid w:val="052D7210"/>
    <w:rsid w:val="05875610"/>
    <w:rsid w:val="05D67331"/>
    <w:rsid w:val="06252BFE"/>
    <w:rsid w:val="06FA0DFD"/>
    <w:rsid w:val="07895311"/>
    <w:rsid w:val="0835371C"/>
    <w:rsid w:val="0837346E"/>
    <w:rsid w:val="085C143F"/>
    <w:rsid w:val="08DB4D97"/>
    <w:rsid w:val="08E3701E"/>
    <w:rsid w:val="08F824FD"/>
    <w:rsid w:val="0A12645E"/>
    <w:rsid w:val="0A2543E3"/>
    <w:rsid w:val="0A315C3F"/>
    <w:rsid w:val="0A554823"/>
    <w:rsid w:val="0AF62F0F"/>
    <w:rsid w:val="0B3107A1"/>
    <w:rsid w:val="0B440F24"/>
    <w:rsid w:val="0B536D2E"/>
    <w:rsid w:val="0BD63F32"/>
    <w:rsid w:val="0D1D087A"/>
    <w:rsid w:val="0D603F10"/>
    <w:rsid w:val="0DE46D10"/>
    <w:rsid w:val="0E4738B2"/>
    <w:rsid w:val="0E4C5318"/>
    <w:rsid w:val="0F38208C"/>
    <w:rsid w:val="10671094"/>
    <w:rsid w:val="107972ED"/>
    <w:rsid w:val="10915F18"/>
    <w:rsid w:val="111A016C"/>
    <w:rsid w:val="11DF71D0"/>
    <w:rsid w:val="12916AA6"/>
    <w:rsid w:val="148B5FD2"/>
    <w:rsid w:val="14C21308"/>
    <w:rsid w:val="155C0DBD"/>
    <w:rsid w:val="16E318AE"/>
    <w:rsid w:val="170A5C72"/>
    <w:rsid w:val="17924D93"/>
    <w:rsid w:val="19EB60D6"/>
    <w:rsid w:val="19F16090"/>
    <w:rsid w:val="1B220DDC"/>
    <w:rsid w:val="1B2C4DA9"/>
    <w:rsid w:val="1BA64C58"/>
    <w:rsid w:val="1C1D10AF"/>
    <w:rsid w:val="1C5A43C0"/>
    <w:rsid w:val="1CA12143"/>
    <w:rsid w:val="1CD851C7"/>
    <w:rsid w:val="1CE75528"/>
    <w:rsid w:val="1D1327C1"/>
    <w:rsid w:val="1DA44DDE"/>
    <w:rsid w:val="1E9811D0"/>
    <w:rsid w:val="1EFB52BB"/>
    <w:rsid w:val="1F62533A"/>
    <w:rsid w:val="1FA81D43"/>
    <w:rsid w:val="1FFC753C"/>
    <w:rsid w:val="1FFD330C"/>
    <w:rsid w:val="200F54C2"/>
    <w:rsid w:val="20E00D27"/>
    <w:rsid w:val="20F6499B"/>
    <w:rsid w:val="210D5136"/>
    <w:rsid w:val="21130FC7"/>
    <w:rsid w:val="21BD6440"/>
    <w:rsid w:val="222A213F"/>
    <w:rsid w:val="224D6DAC"/>
    <w:rsid w:val="226014A0"/>
    <w:rsid w:val="23445C2E"/>
    <w:rsid w:val="23501126"/>
    <w:rsid w:val="23DC390D"/>
    <w:rsid w:val="25F34F3E"/>
    <w:rsid w:val="26A35618"/>
    <w:rsid w:val="26D72EEF"/>
    <w:rsid w:val="26E15CE7"/>
    <w:rsid w:val="27A24E6D"/>
    <w:rsid w:val="27A504B9"/>
    <w:rsid w:val="27C6290A"/>
    <w:rsid w:val="28480BDC"/>
    <w:rsid w:val="29D32F27"/>
    <w:rsid w:val="2BBC6B1B"/>
    <w:rsid w:val="2BDF3682"/>
    <w:rsid w:val="2C362090"/>
    <w:rsid w:val="2C3B46EC"/>
    <w:rsid w:val="2C3E21B6"/>
    <w:rsid w:val="2C9411AC"/>
    <w:rsid w:val="2CFB12A7"/>
    <w:rsid w:val="2D48771E"/>
    <w:rsid w:val="2D83129D"/>
    <w:rsid w:val="2DED13AA"/>
    <w:rsid w:val="2EA9714E"/>
    <w:rsid w:val="2EB57234"/>
    <w:rsid w:val="2EFC42BF"/>
    <w:rsid w:val="2F8665BD"/>
    <w:rsid w:val="2FA34AEF"/>
    <w:rsid w:val="30CE464F"/>
    <w:rsid w:val="31A6555A"/>
    <w:rsid w:val="31D76BE3"/>
    <w:rsid w:val="32456B21"/>
    <w:rsid w:val="327D3F00"/>
    <w:rsid w:val="337771AE"/>
    <w:rsid w:val="33B50A84"/>
    <w:rsid w:val="33E800AC"/>
    <w:rsid w:val="33F60D22"/>
    <w:rsid w:val="34DA79F4"/>
    <w:rsid w:val="35151C0C"/>
    <w:rsid w:val="356A12DA"/>
    <w:rsid w:val="3645463B"/>
    <w:rsid w:val="36E508D2"/>
    <w:rsid w:val="37831245"/>
    <w:rsid w:val="38D155E0"/>
    <w:rsid w:val="396F26D5"/>
    <w:rsid w:val="3A02659B"/>
    <w:rsid w:val="3A156DA2"/>
    <w:rsid w:val="3A4B0CE9"/>
    <w:rsid w:val="3AE6778B"/>
    <w:rsid w:val="3CF347D2"/>
    <w:rsid w:val="3D4520CB"/>
    <w:rsid w:val="3D874491"/>
    <w:rsid w:val="3DA05A46"/>
    <w:rsid w:val="3DB23CE5"/>
    <w:rsid w:val="3DFD6502"/>
    <w:rsid w:val="3E3A1504"/>
    <w:rsid w:val="3E6B3956"/>
    <w:rsid w:val="3EB04670"/>
    <w:rsid w:val="3EEA07FE"/>
    <w:rsid w:val="3EF61969"/>
    <w:rsid w:val="3F88629F"/>
    <w:rsid w:val="3FB5178A"/>
    <w:rsid w:val="3FFF0C57"/>
    <w:rsid w:val="405C770D"/>
    <w:rsid w:val="40C82570"/>
    <w:rsid w:val="40EB4E0B"/>
    <w:rsid w:val="41517290"/>
    <w:rsid w:val="41BE59CC"/>
    <w:rsid w:val="4255773E"/>
    <w:rsid w:val="42C41750"/>
    <w:rsid w:val="42FB72DA"/>
    <w:rsid w:val="438506C9"/>
    <w:rsid w:val="43941A1A"/>
    <w:rsid w:val="43C95804"/>
    <w:rsid w:val="440B79EF"/>
    <w:rsid w:val="44834FDA"/>
    <w:rsid w:val="44C45668"/>
    <w:rsid w:val="450057CD"/>
    <w:rsid w:val="46902609"/>
    <w:rsid w:val="46AE4932"/>
    <w:rsid w:val="473D3110"/>
    <w:rsid w:val="47A345BE"/>
    <w:rsid w:val="482C6963"/>
    <w:rsid w:val="48967E00"/>
    <w:rsid w:val="48AF089B"/>
    <w:rsid w:val="48ED3D1A"/>
    <w:rsid w:val="4B037C22"/>
    <w:rsid w:val="4B0E7998"/>
    <w:rsid w:val="4B395E37"/>
    <w:rsid w:val="4BB803DD"/>
    <w:rsid w:val="4C665919"/>
    <w:rsid w:val="4C6C7917"/>
    <w:rsid w:val="4D040934"/>
    <w:rsid w:val="4E3C665B"/>
    <w:rsid w:val="4F550A2B"/>
    <w:rsid w:val="500D0826"/>
    <w:rsid w:val="51F045C4"/>
    <w:rsid w:val="52982FE9"/>
    <w:rsid w:val="5315060F"/>
    <w:rsid w:val="533814E5"/>
    <w:rsid w:val="548235FE"/>
    <w:rsid w:val="548968E9"/>
    <w:rsid w:val="54B25E40"/>
    <w:rsid w:val="550709AB"/>
    <w:rsid w:val="560E5D0A"/>
    <w:rsid w:val="566266CE"/>
    <w:rsid w:val="580764A3"/>
    <w:rsid w:val="58A34925"/>
    <w:rsid w:val="58ED38EB"/>
    <w:rsid w:val="599109BB"/>
    <w:rsid w:val="59915E19"/>
    <w:rsid w:val="59A2105E"/>
    <w:rsid w:val="59B42671"/>
    <w:rsid w:val="59E21F44"/>
    <w:rsid w:val="5A24333C"/>
    <w:rsid w:val="5A286CE1"/>
    <w:rsid w:val="5A3D1672"/>
    <w:rsid w:val="5A7F65E0"/>
    <w:rsid w:val="5B8F5B03"/>
    <w:rsid w:val="5B944721"/>
    <w:rsid w:val="5C151F60"/>
    <w:rsid w:val="5D1C06B0"/>
    <w:rsid w:val="5D20187F"/>
    <w:rsid w:val="5D755C5D"/>
    <w:rsid w:val="5DC85F50"/>
    <w:rsid w:val="5E661D75"/>
    <w:rsid w:val="5F0454EA"/>
    <w:rsid w:val="5F164E84"/>
    <w:rsid w:val="60A32AE1"/>
    <w:rsid w:val="60A672B7"/>
    <w:rsid w:val="60C70EC5"/>
    <w:rsid w:val="62303B3F"/>
    <w:rsid w:val="62436375"/>
    <w:rsid w:val="628D3C15"/>
    <w:rsid w:val="629149A0"/>
    <w:rsid w:val="62A357A5"/>
    <w:rsid w:val="62A75CF6"/>
    <w:rsid w:val="63556C11"/>
    <w:rsid w:val="639C03E7"/>
    <w:rsid w:val="63D97283"/>
    <w:rsid w:val="642644B5"/>
    <w:rsid w:val="65B85280"/>
    <w:rsid w:val="664D397F"/>
    <w:rsid w:val="67674868"/>
    <w:rsid w:val="677245F9"/>
    <w:rsid w:val="68D93544"/>
    <w:rsid w:val="690E754C"/>
    <w:rsid w:val="69186297"/>
    <w:rsid w:val="691A37DC"/>
    <w:rsid w:val="69A13D00"/>
    <w:rsid w:val="6AD32EF3"/>
    <w:rsid w:val="6CA24DFB"/>
    <w:rsid w:val="6CF65E3E"/>
    <w:rsid w:val="6D326329"/>
    <w:rsid w:val="6D7D3037"/>
    <w:rsid w:val="6DC23AC6"/>
    <w:rsid w:val="6E006CAE"/>
    <w:rsid w:val="6E2D4BEC"/>
    <w:rsid w:val="6EE844E0"/>
    <w:rsid w:val="6F533A4B"/>
    <w:rsid w:val="6FF62C2D"/>
    <w:rsid w:val="70124EFA"/>
    <w:rsid w:val="70467EF3"/>
    <w:rsid w:val="70E47042"/>
    <w:rsid w:val="71B241F0"/>
    <w:rsid w:val="730E36C9"/>
    <w:rsid w:val="731F693F"/>
    <w:rsid w:val="739E7864"/>
    <w:rsid w:val="73C30A43"/>
    <w:rsid w:val="741B5358"/>
    <w:rsid w:val="745F5CCF"/>
    <w:rsid w:val="74894A36"/>
    <w:rsid w:val="74A03F97"/>
    <w:rsid w:val="75BE5121"/>
    <w:rsid w:val="75CD61DE"/>
    <w:rsid w:val="7662101C"/>
    <w:rsid w:val="7690601D"/>
    <w:rsid w:val="76F265F0"/>
    <w:rsid w:val="77DB36AD"/>
    <w:rsid w:val="781B21F4"/>
    <w:rsid w:val="79576830"/>
    <w:rsid w:val="79930B44"/>
    <w:rsid w:val="79CC6434"/>
    <w:rsid w:val="79F93A46"/>
    <w:rsid w:val="7A1A64A5"/>
    <w:rsid w:val="7AEC3734"/>
    <w:rsid w:val="7BC86237"/>
    <w:rsid w:val="7BFE4671"/>
    <w:rsid w:val="7E0413B7"/>
    <w:rsid w:val="7E46249C"/>
    <w:rsid w:val="7EE50A3C"/>
    <w:rsid w:val="7F964EE1"/>
    <w:rsid w:val="7FBF671F"/>
    <w:rsid w:val="7FD74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link w:val="29"/>
    <w:qFormat/>
    <w:uiPriority w:val="0"/>
    <w:pPr>
      <w:keepNext/>
      <w:keepLines/>
      <w:spacing w:before="340" w:after="330" w:line="578" w:lineRule="auto"/>
      <w:outlineLvl w:val="0"/>
    </w:pPr>
    <w:rPr>
      <w:b/>
      <w:bCs/>
      <w:kern w:val="44"/>
      <w:sz w:val="44"/>
      <w:szCs w:val="44"/>
    </w:rPr>
  </w:style>
  <w:style w:type="paragraph" w:styleId="5">
    <w:name w:val="heading 2"/>
    <w:basedOn w:val="1"/>
    <w:next w:val="4"/>
    <w:link w:val="30"/>
    <w:qFormat/>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link w:val="31"/>
    <w:qFormat/>
    <w:uiPriority w:val="0"/>
    <w:pPr>
      <w:keepNext/>
      <w:keepLines/>
      <w:spacing w:before="260" w:after="260" w:line="416" w:lineRule="auto"/>
      <w:outlineLvl w:val="2"/>
    </w:pPr>
    <w:rPr>
      <w:b/>
      <w:bCs/>
      <w:sz w:val="32"/>
      <w:szCs w:val="32"/>
    </w:rPr>
  </w:style>
  <w:style w:type="paragraph" w:styleId="2">
    <w:name w:val="heading 4"/>
    <w:basedOn w:val="1"/>
    <w:next w:val="1"/>
    <w:qFormat/>
    <w:locked/>
    <w:uiPriority w:val="9"/>
    <w:pPr>
      <w:keepNext/>
      <w:spacing w:before="240" w:after="60"/>
      <w:outlineLvl w:val="3"/>
    </w:pPr>
    <w:rPr>
      <w:rFonts w:ascii="Calibri" w:hAnsi="Calibri" w:eastAsia="等线"/>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rPr>
      <w:rFonts w:ascii="Calibri" w:hAnsi="Calibri"/>
      <w:sz w:val="24"/>
    </w:rPr>
  </w:style>
  <w:style w:type="paragraph" w:styleId="7">
    <w:name w:val="toc 7"/>
    <w:basedOn w:val="1"/>
    <w:next w:val="1"/>
    <w:semiHidden/>
    <w:qFormat/>
    <w:uiPriority w:val="0"/>
    <w:pPr>
      <w:ind w:left="1260"/>
      <w:jc w:val="left"/>
    </w:pPr>
    <w:rPr>
      <w:rFonts w:ascii="Calibri" w:hAnsi="Calibri"/>
      <w:sz w:val="18"/>
      <w:szCs w:val="18"/>
    </w:rPr>
  </w:style>
  <w:style w:type="paragraph" w:styleId="8">
    <w:name w:val="annotation text"/>
    <w:basedOn w:val="1"/>
    <w:qFormat/>
    <w:uiPriority w:val="0"/>
    <w:pPr>
      <w:jc w:val="left"/>
    </w:pPr>
  </w:style>
  <w:style w:type="paragraph" w:styleId="9">
    <w:name w:val="toc 5"/>
    <w:basedOn w:val="1"/>
    <w:next w:val="1"/>
    <w:semiHidden/>
    <w:qFormat/>
    <w:uiPriority w:val="0"/>
    <w:pPr>
      <w:ind w:left="840"/>
      <w:jc w:val="left"/>
    </w:pPr>
    <w:rPr>
      <w:rFonts w:ascii="Calibri" w:hAnsi="Calibri"/>
      <w:sz w:val="18"/>
      <w:szCs w:val="18"/>
    </w:rPr>
  </w:style>
  <w:style w:type="paragraph" w:styleId="10">
    <w:name w:val="toc 3"/>
    <w:basedOn w:val="1"/>
    <w:next w:val="1"/>
    <w:semiHidden/>
    <w:qFormat/>
    <w:uiPriority w:val="0"/>
    <w:pPr>
      <w:tabs>
        <w:tab w:val="right" w:leader="dot" w:pos="8222"/>
        <w:tab w:val="right" w:leader="dot" w:pos="8302"/>
      </w:tabs>
      <w:spacing w:line="400" w:lineRule="atLeast"/>
    </w:pPr>
    <w:rPr>
      <w:rFonts w:ascii="黑体" w:hAnsi="Calibri" w:eastAsia="黑体"/>
      <w:b/>
      <w:iCs/>
      <w:sz w:val="24"/>
    </w:rPr>
  </w:style>
  <w:style w:type="paragraph" w:styleId="11">
    <w:name w:val="toc 8"/>
    <w:basedOn w:val="1"/>
    <w:next w:val="1"/>
    <w:semiHidden/>
    <w:qFormat/>
    <w:uiPriority w:val="0"/>
    <w:pPr>
      <w:ind w:left="1470"/>
      <w:jc w:val="left"/>
    </w:pPr>
    <w:rPr>
      <w:rFonts w:ascii="Calibri" w:hAnsi="Calibri"/>
      <w:sz w:val="18"/>
      <w:szCs w:val="18"/>
    </w:rPr>
  </w:style>
  <w:style w:type="paragraph" w:styleId="12">
    <w:name w:val="Date"/>
    <w:basedOn w:val="1"/>
    <w:next w:val="1"/>
    <w:link w:val="32"/>
    <w:qFormat/>
    <w:uiPriority w:val="0"/>
    <w:pPr>
      <w:ind w:left="100" w:leftChars="2500"/>
    </w:pPr>
    <w:rPr>
      <w:b/>
      <w:bCs/>
      <w:sz w:val="32"/>
    </w:rPr>
  </w:style>
  <w:style w:type="paragraph" w:styleId="13">
    <w:name w:val="Balloon Text"/>
    <w:basedOn w:val="1"/>
    <w:link w:val="33"/>
    <w:semiHidden/>
    <w:qFormat/>
    <w:uiPriority w:val="0"/>
    <w:rPr>
      <w:sz w:val="18"/>
      <w:szCs w:val="18"/>
    </w:rPr>
  </w:style>
  <w:style w:type="paragraph" w:styleId="14">
    <w:name w:val="footer"/>
    <w:basedOn w:val="1"/>
    <w:link w:val="34"/>
    <w:qFormat/>
    <w:uiPriority w:val="0"/>
    <w:pPr>
      <w:tabs>
        <w:tab w:val="center" w:pos="4153"/>
        <w:tab w:val="right" w:pos="8306"/>
      </w:tabs>
      <w:snapToGrid w:val="0"/>
      <w:jc w:val="left"/>
    </w:pPr>
    <w:rPr>
      <w:sz w:val="18"/>
      <w:szCs w:val="18"/>
    </w:rPr>
  </w:style>
  <w:style w:type="paragraph" w:styleId="15">
    <w:name w:val="header"/>
    <w:basedOn w:val="1"/>
    <w:link w:val="35"/>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semiHidden/>
    <w:qFormat/>
    <w:uiPriority w:val="0"/>
    <w:pPr>
      <w:tabs>
        <w:tab w:val="right" w:leader="dot" w:pos="8302"/>
      </w:tabs>
      <w:spacing w:line="360" w:lineRule="auto"/>
      <w:jc w:val="left"/>
    </w:pPr>
    <w:rPr>
      <w:rFonts w:ascii="Calibri" w:hAnsi="Calibri"/>
      <w:b/>
      <w:bCs/>
      <w:caps/>
      <w:sz w:val="20"/>
      <w:szCs w:val="20"/>
    </w:rPr>
  </w:style>
  <w:style w:type="paragraph" w:styleId="17">
    <w:name w:val="toc 4"/>
    <w:basedOn w:val="1"/>
    <w:next w:val="1"/>
    <w:semiHidden/>
    <w:qFormat/>
    <w:uiPriority w:val="0"/>
    <w:pPr>
      <w:ind w:left="630"/>
      <w:jc w:val="left"/>
    </w:pPr>
    <w:rPr>
      <w:rFonts w:ascii="Calibri" w:hAnsi="Calibri"/>
      <w:sz w:val="18"/>
      <w:szCs w:val="18"/>
    </w:rPr>
  </w:style>
  <w:style w:type="paragraph" w:styleId="18">
    <w:name w:val="toc 6"/>
    <w:basedOn w:val="1"/>
    <w:next w:val="1"/>
    <w:semiHidden/>
    <w:qFormat/>
    <w:uiPriority w:val="0"/>
    <w:pPr>
      <w:ind w:left="1050"/>
      <w:jc w:val="left"/>
    </w:pPr>
    <w:rPr>
      <w:rFonts w:ascii="Calibri" w:hAnsi="Calibri"/>
      <w:sz w:val="18"/>
      <w:szCs w:val="18"/>
    </w:rPr>
  </w:style>
  <w:style w:type="paragraph" w:styleId="19">
    <w:name w:val="toc 2"/>
    <w:basedOn w:val="1"/>
    <w:next w:val="1"/>
    <w:semiHidden/>
    <w:qFormat/>
    <w:uiPriority w:val="0"/>
    <w:pPr>
      <w:tabs>
        <w:tab w:val="right" w:leader="dot" w:pos="8222"/>
      </w:tabs>
      <w:spacing w:line="420" w:lineRule="atLeast"/>
      <w:jc w:val="left"/>
    </w:pPr>
    <w:rPr>
      <w:rFonts w:ascii="黑体" w:hAnsi="Calibri" w:eastAsia="黑体"/>
      <w:b/>
      <w:smallCaps/>
      <w:sz w:val="24"/>
    </w:rPr>
  </w:style>
  <w:style w:type="paragraph" w:styleId="20">
    <w:name w:val="toc 9"/>
    <w:basedOn w:val="1"/>
    <w:next w:val="1"/>
    <w:semiHidden/>
    <w:qFormat/>
    <w:uiPriority w:val="0"/>
    <w:pPr>
      <w:ind w:left="1680"/>
      <w:jc w:val="left"/>
    </w:pPr>
    <w:rPr>
      <w:rFonts w:ascii="Calibri" w:hAnsi="Calibri"/>
      <w:sz w:val="18"/>
      <w:szCs w:val="18"/>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page number"/>
    <w:qFormat/>
    <w:uiPriority w:val="0"/>
  </w:style>
  <w:style w:type="character" w:styleId="26">
    <w:name w:val="Emphasis"/>
    <w:qFormat/>
    <w:uiPriority w:val="0"/>
    <w:rPr>
      <w:rFonts w:cs="Times New Roman"/>
      <w:i/>
      <w:iCs/>
    </w:rPr>
  </w:style>
  <w:style w:type="character" w:styleId="27">
    <w:name w:val="Hyperlink"/>
    <w:qFormat/>
    <w:uiPriority w:val="0"/>
    <w:rPr>
      <w:rFonts w:cs="Times New Roman"/>
      <w:color w:val="0000FF"/>
      <w:spacing w:val="0"/>
      <w:w w:val="100"/>
      <w:sz w:val="21"/>
      <w:szCs w:val="21"/>
      <w:u w:val="single"/>
    </w:rPr>
  </w:style>
  <w:style w:type="character" w:styleId="28">
    <w:name w:val="annotation reference"/>
    <w:basedOn w:val="24"/>
    <w:qFormat/>
    <w:uiPriority w:val="0"/>
    <w:rPr>
      <w:sz w:val="21"/>
      <w:szCs w:val="21"/>
    </w:rPr>
  </w:style>
  <w:style w:type="character" w:customStyle="1" w:styleId="29">
    <w:name w:val="标题 1 字符"/>
    <w:link w:val="3"/>
    <w:qFormat/>
    <w:locked/>
    <w:uiPriority w:val="0"/>
    <w:rPr>
      <w:rFonts w:ascii="Times New Roman" w:hAnsi="Times New Roman" w:eastAsia="宋体" w:cs="Times New Roman"/>
      <w:b/>
      <w:bCs/>
      <w:kern w:val="44"/>
      <w:sz w:val="44"/>
      <w:szCs w:val="44"/>
    </w:rPr>
  </w:style>
  <w:style w:type="character" w:customStyle="1" w:styleId="30">
    <w:name w:val="标题 2 字符"/>
    <w:link w:val="5"/>
    <w:semiHidden/>
    <w:qFormat/>
    <w:locked/>
    <w:uiPriority w:val="0"/>
    <w:rPr>
      <w:rFonts w:ascii="Cambria" w:hAnsi="Cambria" w:eastAsia="宋体" w:cs="Times New Roman"/>
      <w:b/>
      <w:bCs/>
      <w:sz w:val="32"/>
      <w:szCs w:val="32"/>
    </w:rPr>
  </w:style>
  <w:style w:type="character" w:customStyle="1" w:styleId="31">
    <w:name w:val="标题 3 字符"/>
    <w:link w:val="6"/>
    <w:semiHidden/>
    <w:qFormat/>
    <w:locked/>
    <w:uiPriority w:val="0"/>
    <w:rPr>
      <w:rFonts w:ascii="Times New Roman" w:hAnsi="Times New Roman" w:eastAsia="宋体" w:cs="Times New Roman"/>
      <w:b/>
      <w:bCs/>
      <w:sz w:val="32"/>
      <w:szCs w:val="32"/>
    </w:rPr>
  </w:style>
  <w:style w:type="character" w:customStyle="1" w:styleId="32">
    <w:name w:val="日期 字符"/>
    <w:link w:val="12"/>
    <w:qFormat/>
    <w:locked/>
    <w:uiPriority w:val="0"/>
    <w:rPr>
      <w:rFonts w:ascii="Times New Roman" w:hAnsi="Times New Roman" w:eastAsia="宋体" w:cs="Times New Roman"/>
      <w:b/>
      <w:bCs/>
      <w:sz w:val="24"/>
      <w:szCs w:val="24"/>
    </w:rPr>
  </w:style>
  <w:style w:type="character" w:customStyle="1" w:styleId="33">
    <w:name w:val="批注框文本 字符"/>
    <w:link w:val="13"/>
    <w:semiHidden/>
    <w:qFormat/>
    <w:locked/>
    <w:uiPriority w:val="0"/>
    <w:rPr>
      <w:rFonts w:ascii="Times New Roman" w:hAnsi="Times New Roman" w:eastAsia="宋体" w:cs="Times New Roman"/>
      <w:sz w:val="18"/>
      <w:szCs w:val="18"/>
    </w:rPr>
  </w:style>
  <w:style w:type="character" w:customStyle="1" w:styleId="34">
    <w:name w:val="页脚 字符"/>
    <w:link w:val="14"/>
    <w:qFormat/>
    <w:locked/>
    <w:uiPriority w:val="0"/>
    <w:rPr>
      <w:rFonts w:ascii="Times New Roman" w:hAnsi="Times New Roman" w:eastAsia="宋体" w:cs="Times New Roman"/>
      <w:sz w:val="18"/>
      <w:szCs w:val="18"/>
    </w:rPr>
  </w:style>
  <w:style w:type="character" w:customStyle="1" w:styleId="35">
    <w:name w:val="页眉 字符"/>
    <w:link w:val="15"/>
    <w:semiHidden/>
    <w:qFormat/>
    <w:locked/>
    <w:uiPriority w:val="0"/>
    <w:rPr>
      <w:rFonts w:ascii="Times New Roman" w:hAnsi="Times New Roman" w:eastAsia="宋体" w:cs="Times New Roman"/>
      <w:sz w:val="18"/>
      <w:szCs w:val="18"/>
    </w:rPr>
  </w:style>
  <w:style w:type="paragraph" w:customStyle="1" w:styleId="36">
    <w:name w:val="封面标准名称"/>
    <w:qFormat/>
    <w:uiPriority w:val="0"/>
    <w:pPr>
      <w:framePr w:w="9638" w:h="6917" w:hRule="exact" w:wrap="auto"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37">
    <w:name w:val="段 Char"/>
    <w:link w:val="38"/>
    <w:qFormat/>
    <w:locked/>
    <w:uiPriority w:val="0"/>
    <w:rPr>
      <w:rFonts w:ascii="宋体" w:hAnsi="宋体"/>
      <w:kern w:val="2"/>
      <w:sz w:val="21"/>
      <w:szCs w:val="22"/>
      <w:lang w:val="en-US" w:eastAsia="zh-CN" w:bidi="ar-SA"/>
    </w:rPr>
  </w:style>
  <w:style w:type="paragraph" w:customStyle="1" w:styleId="38">
    <w:name w:val="段"/>
    <w:link w:val="37"/>
    <w:qFormat/>
    <w:uiPriority w:val="0"/>
    <w:pPr>
      <w:tabs>
        <w:tab w:val="center" w:pos="4201"/>
        <w:tab w:val="right" w:leader="dot" w:pos="9298"/>
      </w:tabs>
      <w:autoSpaceDE w:val="0"/>
      <w:autoSpaceDN w:val="0"/>
      <w:ind w:firstLine="420" w:firstLineChars="200"/>
      <w:jc w:val="both"/>
    </w:pPr>
    <w:rPr>
      <w:rFonts w:ascii="宋体" w:hAnsi="宋体" w:eastAsia="宋体" w:cs="Times New Roman"/>
      <w:kern w:val="2"/>
      <w:sz w:val="21"/>
      <w:szCs w:val="22"/>
      <w:lang w:val="en-US" w:eastAsia="zh-CN" w:bidi="ar-SA"/>
    </w:rPr>
  </w:style>
  <w:style w:type="paragraph" w:customStyle="1" w:styleId="39">
    <w:name w:val="一级条标题"/>
    <w:next w:val="38"/>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0">
    <w:name w:val="章标题"/>
    <w:next w:val="3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38"/>
    <w:uiPriority w:val="0"/>
    <w:pPr>
      <w:numPr>
        <w:ilvl w:val="2"/>
      </w:numPr>
      <w:outlineLvl w:val="3"/>
    </w:pPr>
  </w:style>
  <w:style w:type="paragraph" w:customStyle="1" w:styleId="42">
    <w:name w:val="目次、标准名称标题"/>
    <w:basedOn w:val="1"/>
    <w:next w:val="38"/>
    <w:uiPriority w:val="0"/>
    <w:pPr>
      <w:keepNext/>
      <w:pageBreakBefore/>
      <w:widowControl/>
      <w:shd w:val="clear" w:color="auto" w:fill="FFFFFF"/>
      <w:spacing w:before="640" w:after="560" w:line="460" w:lineRule="exact"/>
      <w:jc w:val="center"/>
      <w:outlineLvl w:val="0"/>
    </w:pPr>
    <w:rPr>
      <w:rFonts w:ascii="黑体" w:eastAsia="黑体"/>
      <w:kern w:val="0"/>
      <w:sz w:val="32"/>
      <w:szCs w:val="20"/>
    </w:rPr>
  </w:style>
  <w:style w:type="paragraph" w:customStyle="1" w:styleId="43">
    <w:name w:val="三级条标题"/>
    <w:basedOn w:val="41"/>
    <w:next w:val="38"/>
    <w:uiPriority w:val="0"/>
    <w:pPr>
      <w:numPr>
        <w:ilvl w:val="3"/>
      </w:numPr>
      <w:outlineLvl w:val="4"/>
    </w:pPr>
  </w:style>
  <w:style w:type="paragraph" w:customStyle="1" w:styleId="44">
    <w:name w:val="四级条标题"/>
    <w:basedOn w:val="43"/>
    <w:next w:val="38"/>
    <w:qFormat/>
    <w:uiPriority w:val="0"/>
    <w:pPr>
      <w:numPr>
        <w:ilvl w:val="4"/>
      </w:numPr>
      <w:outlineLvl w:val="5"/>
    </w:pPr>
  </w:style>
  <w:style w:type="paragraph" w:customStyle="1" w:styleId="45">
    <w:name w:val="五级条标题"/>
    <w:basedOn w:val="44"/>
    <w:next w:val="38"/>
    <w:qFormat/>
    <w:uiPriority w:val="0"/>
    <w:pPr>
      <w:numPr>
        <w:ilvl w:val="5"/>
      </w:numPr>
      <w:outlineLvl w:val="6"/>
    </w:pPr>
  </w:style>
  <w:style w:type="paragraph" w:customStyle="1" w:styleId="46">
    <w:name w:val="二级无"/>
    <w:basedOn w:val="41"/>
    <w:qFormat/>
    <w:uiPriority w:val="0"/>
    <w:pPr>
      <w:spacing w:beforeLines="0" w:afterLines="0"/>
    </w:pPr>
    <w:rPr>
      <w:rFonts w:ascii="宋体" w:eastAsia="宋体"/>
    </w:rPr>
  </w:style>
  <w:style w:type="paragraph" w:customStyle="1" w:styleId="47">
    <w:name w:val="前言、引言标题"/>
    <w:next w:val="38"/>
    <w:qFormat/>
    <w:uiPriority w:val="0"/>
    <w:pPr>
      <w:keepNext/>
      <w:pageBreakBefore/>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48">
    <w:name w:val="正文公式编号制表符"/>
    <w:basedOn w:val="38"/>
    <w:next w:val="38"/>
    <w:qFormat/>
    <w:uiPriority w:val="0"/>
    <w:pPr>
      <w:ind w:firstLine="0" w:firstLineChars="0"/>
    </w:pPr>
  </w:style>
  <w:style w:type="character" w:customStyle="1" w:styleId="49">
    <w:name w:val="apple-style-span"/>
    <w:qFormat/>
    <w:uiPriority w:val="0"/>
    <w:rPr>
      <w:rFonts w:cs="Times New Roman"/>
    </w:rPr>
  </w:style>
  <w:style w:type="paragraph" w:customStyle="1" w:styleId="50">
    <w:name w:val="无间隔1"/>
    <w:link w:val="51"/>
    <w:qFormat/>
    <w:uiPriority w:val="0"/>
    <w:rPr>
      <w:rFonts w:ascii="Times New Roman" w:hAnsi="Times New Roman" w:eastAsia="宋体" w:cs="Times New Roman"/>
      <w:sz w:val="22"/>
      <w:szCs w:val="22"/>
      <w:lang w:val="en-US" w:eastAsia="zh-CN" w:bidi="ar-SA"/>
    </w:rPr>
  </w:style>
  <w:style w:type="character" w:customStyle="1" w:styleId="51">
    <w:name w:val="No Spacing Char"/>
    <w:link w:val="50"/>
    <w:qFormat/>
    <w:locked/>
    <w:uiPriority w:val="0"/>
    <w:rPr>
      <w:sz w:val="22"/>
      <w:szCs w:val="22"/>
      <w:lang w:val="en-US" w:eastAsia="zh-CN" w:bidi="ar-SA"/>
    </w:rPr>
  </w:style>
  <w:style w:type="paragraph" w:customStyle="1" w:styleId="52">
    <w:name w:val="正文文本内容"/>
    <w:basedOn w:val="1"/>
    <w:qFormat/>
    <w:uiPriority w:val="0"/>
    <w:pPr>
      <w:spacing w:line="360" w:lineRule="auto"/>
      <w:ind w:firstLine="602" w:firstLineChars="200"/>
    </w:pPr>
    <w:rPr>
      <w:rFonts w:eastAsia="仿宋_GB2312" w:cs="宋体"/>
      <w:sz w:val="28"/>
      <w:szCs w:val="30"/>
    </w:rPr>
  </w:style>
  <w:style w:type="paragraph" w:customStyle="1" w:styleId="53">
    <w:name w:val="列表段落1"/>
    <w:basedOn w:val="1"/>
    <w:qFormat/>
    <w:uiPriority w:val="0"/>
    <w:pPr>
      <w:ind w:firstLine="420" w:firstLineChars="200"/>
    </w:pPr>
    <w:rPr>
      <w:rFonts w:ascii="Calibri" w:hAnsi="Calibri"/>
      <w:szCs w:val="22"/>
    </w:rPr>
  </w:style>
  <w:style w:type="character" w:customStyle="1" w:styleId="54">
    <w:name w:val="样式4 Char"/>
    <w:link w:val="55"/>
    <w:qFormat/>
    <w:locked/>
    <w:uiPriority w:val="0"/>
    <w:rPr>
      <w:rFonts w:hAnsi="宋体" w:cs="Times New Roman"/>
      <w:sz w:val="21"/>
      <w:szCs w:val="21"/>
    </w:rPr>
  </w:style>
  <w:style w:type="paragraph" w:customStyle="1" w:styleId="55">
    <w:name w:val="样式4"/>
    <w:basedOn w:val="1"/>
    <w:link w:val="54"/>
    <w:qFormat/>
    <w:uiPriority w:val="0"/>
    <w:pPr>
      <w:adjustRightInd w:val="0"/>
      <w:spacing w:line="288" w:lineRule="auto"/>
      <w:ind w:firstLine="200" w:firstLineChars="200"/>
    </w:pPr>
    <w:rPr>
      <w:rFonts w:ascii="Calibri" w:hAnsi="宋体"/>
      <w:szCs w:val="21"/>
    </w:rPr>
  </w:style>
  <w:style w:type="character" w:customStyle="1" w:styleId="56">
    <w:name w:val="content1"/>
    <w:qFormat/>
    <w:uiPriority w:val="0"/>
    <w:rPr>
      <w:rFonts w:cs="Times New Roman"/>
      <w:sz w:val="21"/>
      <w:szCs w:val="21"/>
    </w:rPr>
  </w:style>
  <w:style w:type="paragraph" w:customStyle="1" w:styleId="57">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58">
    <w:name w:val="Char Char Char Char"/>
    <w:basedOn w:val="1"/>
    <w:qFormat/>
    <w:uiPriority w:val="0"/>
    <w:pPr>
      <w:spacing w:line="360" w:lineRule="auto"/>
    </w:pPr>
    <w:rPr>
      <w:rFonts w:ascii="宋体" w:hAnsi="宋体"/>
      <w:sz w:val="22"/>
    </w:rPr>
  </w:style>
  <w:style w:type="paragraph" w:customStyle="1" w:styleId="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0">
    <w:name w:val="注：（正文）"/>
    <w:basedOn w:val="1"/>
    <w:next w:val="38"/>
    <w:qFormat/>
    <w:uiPriority w:val="0"/>
    <w:pPr>
      <w:autoSpaceDE w:val="0"/>
      <w:autoSpaceDN w:val="0"/>
    </w:pPr>
    <w:rPr>
      <w:rFonts w:ascii="宋体"/>
      <w:kern w:val="0"/>
      <w:sz w:val="18"/>
      <w:szCs w:val="18"/>
    </w:rPr>
  </w:style>
  <w:style w:type="paragraph" w:customStyle="1" w:styleId="61">
    <w:name w:val="正文表标题"/>
    <w:next w:val="38"/>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62">
    <w:name w:val="一级无"/>
    <w:basedOn w:val="39"/>
    <w:qFormat/>
    <w:uiPriority w:val="0"/>
    <w:pPr>
      <w:numPr>
        <w:ilvl w:val="0"/>
        <w:numId w:val="0"/>
      </w:numPr>
      <w:spacing w:beforeLines="0" w:afterLines="0"/>
    </w:pPr>
    <w:rPr>
      <w:rFonts w:ascii="宋体" w:eastAsia="宋体"/>
    </w:rPr>
  </w:style>
  <w:style w:type="paragraph" w:customStyle="1" w:styleId="63">
    <w:name w:val="附录标识"/>
    <w:basedOn w:val="1"/>
    <w:next w:val="38"/>
    <w:qFormat/>
    <w:uiPriority w:val="0"/>
    <w:pPr>
      <w:keepNext/>
      <w:widowControl/>
      <w:numPr>
        <w:ilvl w:val="0"/>
        <w:numId w:val="2"/>
      </w:numPr>
      <w:shd w:val="clear" w:color="FFFFFF" w:fill="FFFFFF"/>
      <w:tabs>
        <w:tab w:val="left" w:pos="6405"/>
      </w:tabs>
      <w:spacing w:before="640" w:after="280"/>
      <w:jc w:val="center"/>
      <w:outlineLvl w:val="0"/>
    </w:pPr>
    <w:rPr>
      <w:rFonts w:ascii="黑体" w:eastAsia="黑体"/>
      <w:kern w:val="0"/>
      <w:szCs w:val="20"/>
    </w:rPr>
  </w:style>
  <w:style w:type="paragraph" w:customStyle="1" w:styleId="64">
    <w:name w:val="附录二级条标题"/>
    <w:basedOn w:val="1"/>
    <w:next w:val="38"/>
    <w:qFormat/>
    <w:uiPriority w:val="0"/>
    <w:pPr>
      <w:widowControl/>
      <w:numPr>
        <w:ilvl w:val="3"/>
        <w:numId w:val="2"/>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5">
    <w:name w:val="附录三级条标题"/>
    <w:basedOn w:val="64"/>
    <w:next w:val="38"/>
    <w:qFormat/>
    <w:uiPriority w:val="0"/>
    <w:pPr>
      <w:numPr>
        <w:ilvl w:val="4"/>
      </w:numPr>
      <w:outlineLvl w:val="4"/>
    </w:pPr>
  </w:style>
  <w:style w:type="paragraph" w:customStyle="1" w:styleId="66">
    <w:name w:val="附录四级条标题"/>
    <w:basedOn w:val="65"/>
    <w:next w:val="38"/>
    <w:qFormat/>
    <w:uiPriority w:val="0"/>
    <w:pPr>
      <w:numPr>
        <w:ilvl w:val="5"/>
      </w:numPr>
      <w:outlineLvl w:val="5"/>
    </w:pPr>
  </w:style>
  <w:style w:type="paragraph" w:customStyle="1" w:styleId="67">
    <w:name w:val="附录五级条标题"/>
    <w:basedOn w:val="66"/>
    <w:next w:val="38"/>
    <w:qFormat/>
    <w:uiPriority w:val="0"/>
    <w:pPr>
      <w:numPr>
        <w:ilvl w:val="6"/>
      </w:numPr>
      <w:outlineLvl w:val="6"/>
    </w:pPr>
  </w:style>
  <w:style w:type="paragraph" w:customStyle="1" w:styleId="68">
    <w:name w:val="附录章标题"/>
    <w:next w:val="38"/>
    <w:qFormat/>
    <w:uiPriority w:val="0"/>
    <w:pPr>
      <w:numPr>
        <w:ilvl w:val="1"/>
        <w:numId w:val="2"/>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9">
    <w:name w:val="附录一级条标题"/>
    <w:basedOn w:val="68"/>
    <w:next w:val="38"/>
    <w:qFormat/>
    <w:uiPriority w:val="0"/>
    <w:pPr>
      <w:numPr>
        <w:ilvl w:val="2"/>
      </w:numPr>
      <w:tabs>
        <w:tab w:val="left" w:pos="360"/>
      </w:tabs>
      <w:autoSpaceDN w:val="0"/>
      <w:spacing w:before="50" w:beforeLines="50" w:after="50" w:afterLines="50"/>
      <w:outlineLvl w:val="2"/>
    </w:pPr>
  </w:style>
  <w:style w:type="character" w:customStyle="1" w:styleId="70">
    <w:name w:val="font11"/>
    <w:qFormat/>
    <w:uiPriority w:val="0"/>
    <w:rPr>
      <w:rFonts w:hint="eastAsia" w:ascii="宋体" w:hAnsi="宋体" w:eastAsia="宋体" w:cs="宋体"/>
      <w:color w:val="000000"/>
      <w:sz w:val="28"/>
      <w:szCs w:val="28"/>
      <w:u w:val="none"/>
    </w:rPr>
  </w:style>
  <w:style w:type="character" w:customStyle="1" w:styleId="71">
    <w:name w:val="font21"/>
    <w:qFormat/>
    <w:uiPriority w:val="0"/>
    <w:rPr>
      <w:rFonts w:hint="eastAsia" w:ascii="宋体" w:hAnsi="宋体" w:eastAsia="宋体" w:cs="宋体"/>
      <w:color w:val="000000"/>
      <w:sz w:val="28"/>
      <w:szCs w:val="28"/>
      <w:u w:val="none"/>
      <w:vertAlign w:val="superscript"/>
    </w:rPr>
  </w:style>
  <w:style w:type="paragraph" w:customStyle="1" w:styleId="72">
    <w:name w:val="_Style 68"/>
    <w:unhideWhenUsed/>
    <w:qFormat/>
    <w:uiPriority w:val="99"/>
    <w:rPr>
      <w:rFonts w:ascii="Times New Roman" w:hAnsi="Times New Roman" w:eastAsia="宋体" w:cs="Times New Roman"/>
      <w:kern w:val="2"/>
      <w:sz w:val="21"/>
      <w:szCs w:val="24"/>
      <w:lang w:val="en-US" w:eastAsia="zh-CN" w:bidi="ar-SA"/>
    </w:rPr>
  </w:style>
  <w:style w:type="paragraph" w:customStyle="1" w:styleId="73">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74">
    <w:name w:val="博士论文正文"/>
    <w:basedOn w:val="1"/>
    <w:next w:val="8"/>
    <w:qFormat/>
    <w:uiPriority w:val="0"/>
    <w:pPr>
      <w:spacing w:line="360" w:lineRule="auto"/>
      <w:ind w:firstLine="200" w:firstLineChars="200"/>
    </w:pPr>
    <w:rPr>
      <w:rFonts w:ascii="Calibri" w:hAnsi="Calibri" w:eastAsia="仿宋_GB2312"/>
      <w:sz w:val="28"/>
      <w:szCs w:val="28"/>
    </w:rPr>
  </w:style>
  <w:style w:type="paragraph" w:styleId="75">
    <w:name w:val="List Paragraph"/>
    <w:basedOn w:val="1"/>
    <w:unhideWhenUsed/>
    <w:uiPriority w:val="99"/>
    <w:pPr>
      <w:ind w:firstLine="420" w:firstLineChars="200"/>
    </w:pPr>
  </w:style>
  <w:style w:type="paragraph" w:customStyle="1" w:styleId="76">
    <w:name w:val="WPSOffice手动目录 1"/>
    <w:uiPriority w:val="0"/>
    <w:pPr>
      <w:ind w:leftChars="0"/>
    </w:pPr>
    <w:rPr>
      <w:sz w:val="20"/>
      <w:szCs w:val="20"/>
    </w:rPr>
  </w:style>
  <w:style w:type="paragraph" w:customStyle="1" w:styleId="77">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2226</Words>
  <Characters>12694</Characters>
  <Lines>105</Lines>
  <Paragraphs>29</Paragraphs>
  <TotalTime>1</TotalTime>
  <ScaleCrop>false</ScaleCrop>
  <LinksUpToDate>false</LinksUpToDate>
  <CharactersWithSpaces>14891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2023-07-13T12:22:00Z</dcterms:created>
  <dc:creator>标准编制组</dc:creator>
  <cp:lastModifiedBy>stone</cp:lastModifiedBy>
  <cp:lastPrinted>2013-10-24T08:14:00Z</cp:lastPrinted>
  <dcterms:modified xsi:type="dcterms:W3CDTF">2023-10-15T05:39:28Z</dcterms:modified>
  <dc:subject>行业标准编制说明</dc:subject>
  <dc:title>《棉纺织行业综合能耗计算导则》</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EEB7855B80364FAE8B5118AB4C30A4E0_13</vt:lpwstr>
  </property>
</Properties>
</file>